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43.png" ContentType="image/png"/>
  <Override PartName="/word/media/rId52.png" ContentType="image/png"/>
  <Override PartName="/word/media/rId62.png" ContentType="image/png"/>
  <Override PartName="/word/media/rId47.png" ContentType="image/png"/>
  <Override PartName="/word/media/rId57.png" ContentType="image/png"/>
  <Override PartName="/word/media/rId67.png" ContentType="image/png"/>
  <Override PartName="/word/media/rId38.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Assessing Semi-Regional Cerebral Oxygen Consumption (CMRO</w:t>
      </w:r>
      <w:r>
        <w:rPr>
          <w:vertAlign w:val="subscript"/>
        </w:rPr>
        <w:t xml:space="preserve">2</w:t>
      </w:r>
      <w:r>
        <w:t xml:space="preserve">) in Preterm Neonates: A Quantitative MRI Cohort Study with Exploratory Analysis of Respiratory Support</w:t>
      </w:r>
    </w:p>
    <w:p>
      <w:pPr>
        <w:pStyle w:val="Author"/>
      </w:pPr>
      <w:r>
        <w:t xml:space="preserve">Chen Shuang Zhu</w:t>
      </w:r>
      <w:r>
        <w:rPr>
          <w:vertAlign w:val="superscript"/>
        </w:rPr>
        <w:t xml:space="preserve">1,2</w:t>
      </w:r>
      <w:r>
        <w:t xml:space="preserve">, Natalie Chan</w:t>
      </w:r>
      <w:r>
        <w:rPr>
          <w:vertAlign w:val="superscript"/>
        </w:rPr>
        <w:t xml:space="preserve">3</w:t>
      </w:r>
      <w:r>
        <w:t xml:space="preserve">, Anil Chacko</w:t>
      </w:r>
      <w:r>
        <w:rPr>
          <w:vertAlign w:val="superscript"/>
        </w:rPr>
        <w:t xml:space="preserve">4</w:t>
      </w:r>
      <w:r>
        <w:t xml:space="preserve">, Liisa Holsti</w:t>
      </w:r>
      <w:r>
        <w:rPr>
          <w:vertAlign w:val="superscript"/>
        </w:rPr>
        <w:t xml:space="preserve">5</w:t>
      </w:r>
      <w:r>
        <w:t xml:space="preserve">, Ruth E Grunau</w:t>
      </w:r>
      <w:r>
        <w:t xml:space="preserve">*</w:t>
      </w:r>
      <w:r>
        <w:rPr>
          <w:vertAlign w:val="superscript"/>
        </w:rPr>
        <w:t xml:space="preserve">2,6</w:t>
      </w:r>
      <w:r>
        <w:t xml:space="preserve">, and Alexander Mark Weber</w:t>
      </w:r>
      <w:r>
        <w:t xml:space="preserve">*</w:t>
      </w:r>
      <w:r>
        <w:rPr>
          <w:vertAlign w:val="superscript"/>
        </w:rPr>
        <w:t xml:space="preserve">1,2,6,✉</w:t>
      </w:r>
    </w:p>
    <w:p>
      <w:pPr>
        <w:pStyle w:val="FirstParagraph"/>
      </w:pPr>
      <w:r>
        <w:rPr>
          <w:vertAlign w:val="superscript"/>
        </w:rPr>
        <w:t xml:space="preserve">1</w:t>
      </w:r>
      <w:r>
        <w:t xml:space="preserve"> </w:t>
      </w:r>
      <w:r>
        <w:t xml:space="preserve">School of Biomedical Engineering, The University of British Columbia, Vancouver, BC, Canada</w:t>
      </w:r>
      <w:r>
        <w:br/>
      </w:r>
      <w:r>
        <w:rPr>
          <w:vertAlign w:val="superscript"/>
        </w:rPr>
        <w:t xml:space="preserve">2</w:t>
      </w:r>
      <w:r>
        <w:t xml:space="preserve"> </w:t>
      </w:r>
      <w:r>
        <w:t xml:space="preserve">BC Children’s Hospital Research Institute, The University of British Columbia, Vancouver, BC, Canada</w:t>
      </w:r>
      <w:r>
        <w:br/>
      </w:r>
      <w:r>
        <w:rPr>
          <w:vertAlign w:val="superscript"/>
        </w:rPr>
        <w:t xml:space="preserve">3</w:t>
      </w:r>
      <w:r>
        <w:t xml:space="preserve"> </w:t>
      </w:r>
      <w:r>
        <w:t xml:space="preserve">Department of Pediatrics, University of California San Francisco, San Francisco, California, USA</w:t>
      </w:r>
      <w:r>
        <w:br/>
      </w:r>
      <w:r>
        <w:rPr>
          <w:vertAlign w:val="superscript"/>
        </w:rPr>
        <w:t xml:space="preserve">4</w:t>
      </w:r>
      <w:r>
        <w:t xml:space="preserve"> </w:t>
      </w:r>
      <w:r>
        <w:t xml:space="preserve">BC Women’s Hospital, Vancouver, BC, Canada</w:t>
      </w:r>
      <w:r>
        <w:br/>
      </w:r>
      <w:r>
        <w:rPr>
          <w:vertAlign w:val="superscript"/>
        </w:rPr>
        <w:t xml:space="preserve">5</w:t>
      </w:r>
      <w:r>
        <w:t xml:space="preserve"> </w:t>
      </w:r>
      <w:r>
        <w:t xml:space="preserve">Occupational Science &amp; Occupational Therapy, University of British Columbia, Vancouver, BC, Canada</w:t>
      </w:r>
      <w:r>
        <w:br/>
      </w:r>
      <w:r>
        <w:rPr>
          <w:vertAlign w:val="superscript"/>
        </w:rPr>
        <w:t xml:space="preserve">6</w:t>
      </w:r>
      <w:r>
        <w:t xml:space="preserve"> </w:t>
      </w:r>
      <w:r>
        <w:t xml:space="preserve">Department of Pediatrics, The University of British Columbia, Vancouver, BC, Canada</w:t>
      </w:r>
    </w:p>
    <w:p>
      <w:pPr>
        <w:pStyle w:val="TextBody"/>
      </w:pPr>
      <w:r>
        <w:rPr>
          <w:vertAlign w:val="superscript"/>
        </w:rPr>
        <w:t xml:space="preserve">✉</w:t>
      </w:r>
      <w:r>
        <w:t xml:space="preserve"> </w:t>
      </w:r>
      <w:r>
        <w:t xml:space="preserve">Correspondence:</w:t>
      </w:r>
      <w:r>
        <w:t xml:space="preserve"> </w:t>
      </w:r>
      <w:hyperlink r:id="rId20">
        <w:r>
          <w:rPr>
            <w:rStyle w:val="InternetLink"/>
          </w:rPr>
          <w:t xml:space="preserve">Alexander Mark Weber</w:t>
        </w:r>
        <w:r>
          <w:rPr>
            <w:rStyle w:val="InternetLink"/>
          </w:rPr>
          <w:t xml:space="preserve">*</w:t>
        </w:r>
        <w:r>
          <w:rPr>
            <w:rStyle w:val="InternetLink"/>
          </w:rPr>
          <w:t xml:space="preserve"> </w:t>
        </w:r>
        <w:r>
          <w:rPr>
            <w:rStyle w:val="InternetLink"/>
          </w:rPr>
          <w:t xml:space="preserve">&lt;aweber@bcchr.ca&gt;</w:t>
        </w:r>
      </w:hyperlink>
    </w:p>
    <w:p>
      <w:pPr>
        <w:pStyle w:val="TextBody"/>
      </w:pPr>
      <w:r>
        <w:rPr>
          <w:vertAlign w:val="superscript"/>
        </w:rPr>
        <w:t xml:space="preserve">*</w:t>
      </w:r>
      <w:r>
        <w:t xml:space="preserve"> </w:t>
      </w:r>
      <w:r>
        <w:t xml:space="preserve">Joint senior authors</w:t>
      </w:r>
    </w:p>
    <w:p>
      <w:pPr>
        <w:pStyle w:val="TextBody"/>
      </w:pPr>
      <w:r>
        <w:rPr>
          <w:b/>
          <w:bCs/>
        </w:rPr>
        <w:t xml:space="preserve">Keywords:</w:t>
      </w:r>
      <w:r>
        <w:t xml:space="preserve"> </w:t>
      </w:r>
      <w:r>
        <w:t xml:space="preserve">cerebral metabolic rate of oxygen; cerebral blood flow; ventilation; preterm; respiratory support; arterial spin labeling; quantitative susceptibility mapping</w:t>
      </w:r>
    </w:p>
    <w:p>
      <w:pPr>
        <w:pStyle w:val="TextBody"/>
      </w:pPr>
      <w:r>
        <w:rPr>
          <w:b/>
          <w:bCs/>
        </w:rPr>
        <w:t xml:space="preserve">Wordcount:</w:t>
      </w:r>
      <w:r>
        <w:t xml:space="preserve"> </w:t>
      </w:r>
      <w:r>
        <w:t xml:space="preserve">4,864</w:t>
      </w:r>
    </w:p>
    <w:p>
      <w:r>
        <w:pict>
          <v:rect style="width:0;height:1.5pt" o:hralign="center" o:hrstd="t" o:hr="t"/>
        </w:pict>
      </w:r>
    </w:p>
    <w:p>
      <w:pPr>
        <w:pStyle w:val="FirstParagraph"/>
      </w:pPr>
      <w:r>
        <w:rPr>
          <w:b/>
          <w:bCs/>
        </w:rPr>
        <w:t xml:space="preserve">ABBREVIATIONS:</w:t>
      </w:r>
      <w:r>
        <w:t xml:space="preserve"> </w:t>
      </w:r>
      <w:r>
        <w:t xml:space="preserve">ASL = arterial spin labeling;</w:t>
      </w:r>
      <w:r>
        <w:t xml:space="preserve"> </w:t>
      </w:r>
      <w:r>
        <w:t xml:space="preserve">CMRO</w:t>
      </w:r>
      <w:r>
        <w:rPr>
          <w:vertAlign w:val="subscript"/>
        </w:rPr>
        <w:t xml:space="preserve">2</w:t>
      </w:r>
      <w:r>
        <w:t xml:space="preserve"> </w:t>
      </w:r>
      <w:r>
        <w:t xml:space="preserve">= cerebral metabolic rate of oxygen;</w:t>
      </w:r>
      <w:r>
        <w:t xml:space="preserve"> </w:t>
      </w:r>
      <w:r>
        <w:t xml:space="preserve">CSaO</w:t>
      </w:r>
      <w:r>
        <w:rPr>
          <w:vertAlign w:val="subscript"/>
        </w:rPr>
        <w:t xml:space="preserve">2</w:t>
      </w:r>
      <w:r>
        <w:t xml:space="preserve"> </w:t>
      </w:r>
      <w:r>
        <w:t xml:space="preserve">= cerebral arterial oxygen saturation;</w:t>
      </w:r>
      <w:r>
        <w:t xml:space="preserve"> </w:t>
      </w:r>
      <w:r>
        <w:t xml:space="preserve">CSvO</w:t>
      </w:r>
      <w:r>
        <w:rPr>
          <w:vertAlign w:val="subscript"/>
        </w:rPr>
        <w:t xml:space="preserve">2</w:t>
      </w:r>
      <w:r>
        <w:t xml:space="preserve"> </w:t>
      </w:r>
      <w:r>
        <w:t xml:space="preserve">= cerebral venous oxygen saturation;</w:t>
      </w:r>
      <w:r>
        <w:t xml:space="preserve"> </w:t>
      </w:r>
      <w:r>
        <w:t xml:space="preserve">GA = gestational age;</w:t>
      </w:r>
      <w:r>
        <w:t xml:space="preserve"> </w:t>
      </w:r>
      <w:r>
        <w:t xml:space="preserve">CGM = cortical grey matter;</w:t>
      </w:r>
      <w:r>
        <w:t xml:space="preserve"> </w:t>
      </w:r>
      <w:r>
        <w:t xml:space="preserve">DGM = deep grey matter;</w:t>
      </w:r>
      <w:r>
        <w:t xml:space="preserve"> </w:t>
      </w:r>
      <w:r>
        <w:t xml:space="preserve">Hct = hematocrit;</w:t>
      </w:r>
      <w:r>
        <w:t xml:space="preserve"> </w:t>
      </w:r>
      <w:r>
        <w:t xml:space="preserve">NICU = neonatal intensive care unit;</w:t>
      </w:r>
      <w:r>
        <w:t xml:space="preserve"> </w:t>
      </w:r>
      <w:r>
        <w:t xml:space="preserve">NIRS = near-infrared spectroscopy;</w:t>
      </w:r>
      <w:r>
        <w:t xml:space="preserve"> </w:t>
      </w:r>
      <w:r>
        <w:t xml:space="preserve">OEF = oxygen extraction fraction;</w:t>
      </w:r>
      <w:r>
        <w:t xml:space="preserve"> </w:t>
      </w:r>
      <w:r>
        <w:t xml:space="preserve">PMA = post-menstrual age;</w:t>
      </w:r>
      <w:r>
        <w:t xml:space="preserve"> </w:t>
      </w:r>
      <w:r>
        <w:t xml:space="preserve">PPM = parts per million;</w:t>
      </w:r>
      <w:r>
        <w:t xml:space="preserve"> </w:t>
      </w:r>
      <w:r>
        <w:t xml:space="preserve">QSM = quantitative susceptibility mapping;</w:t>
      </w:r>
      <w:r>
        <w:t xml:space="preserve"> </w:t>
      </w:r>
      <w:r>
        <w:t xml:space="preserve">T</w:t>
      </w:r>
      <w:r>
        <w:rPr>
          <w:vertAlign w:val="subscript"/>
        </w:rPr>
        <w:t xml:space="preserve">2</w:t>
      </w:r>
      <w:r>
        <w:t xml:space="preserve">-TRIR = T</w:t>
      </w:r>
      <w:r>
        <w:rPr>
          <w:vertAlign w:val="subscript"/>
        </w:rPr>
        <w:t xml:space="preserve">2</w:t>
      </w:r>
      <w:r>
        <w:t xml:space="preserve"> </w:t>
      </w:r>
      <w:r>
        <w:t xml:space="preserve">Prepared Tissue Relaxation Inversion Recovery;</w:t>
      </w:r>
      <w:r>
        <w:t xml:space="preserve"> </w:t>
      </w:r>
      <w:r>
        <w:t xml:space="preserve">TRUST = T</w:t>
      </w:r>
      <w:r>
        <w:rPr>
          <w:vertAlign w:val="subscript"/>
        </w:rPr>
        <w:t xml:space="preserve">2</w:t>
      </w:r>
      <w:r>
        <w:t xml:space="preserve">-relaxation-under-spin-tagging;</w:t>
      </w:r>
    </w:p>
    <w:p>
      <w:r>
        <w:br w:type="page"/>
      </w:r>
    </w:p>
    <w:bookmarkStart w:id="21" w:name="abstract"/>
    <w:p>
      <w:pPr>
        <w:pStyle w:val="Heading1"/>
      </w:pPr>
      <w:r>
        <w:t xml:space="preserve">Abstract</w:t>
      </w:r>
      <w:r>
        <w:t xml:space="preserve"> </w:t>
      </w:r>
    </w:p>
    <w:p>
      <w:pPr>
        <w:pStyle w:val="FirstParagraph"/>
      </w:pPr>
      <w:r>
        <w:rPr>
          <w:b/>
          <w:bCs/>
        </w:rPr>
        <w:t xml:space="preserve">BACKGROUND AND PURPOSE:</w:t>
      </w:r>
      <w:r>
        <w:t xml:space="preserve"> </w:t>
      </w:r>
      <w:r>
        <w:t xml:space="preserve">Developing a non-invasive method for measuring oxygen consumption at both regional and whole-brain levels in preterm infants is crucial for assessing brain development and neuronal injury in this vulnerable population. This study presents a multi-modal MRI technique and analysis pipeline that produces whole-brain semi-regional maps - with the potential to be fully regional - which we employ in a cohort study to investigate how the duration of various respiratory supports in very preterm infants affects CBF and the cerebral metabolic rate of oxygen (CMRO</w:t>
      </w:r>
      <w:r>
        <w:rPr>
          <w:vertAlign w:val="subscript"/>
        </w:rPr>
        <w:t xml:space="preserve">2</w:t>
      </w:r>
      <w:r>
        <w:t xml:space="preserve">).</w:t>
      </w:r>
    </w:p>
    <w:p>
      <w:pPr>
        <w:pStyle w:val="TextBody"/>
      </w:pPr>
      <w:r>
        <w:rPr>
          <w:b/>
          <w:bCs/>
        </w:rPr>
        <w:t xml:space="preserve">METHODS:</w:t>
      </w:r>
      <w:r>
        <w:t xml:space="preserve"> </w:t>
      </w:r>
      <w:r>
        <w:t xml:space="preserve">Infants (n = 19) born &lt; 32 weeks gestational age were recruited in the neonatal intensive care unit. Infants were scanned at term-equivalent age using a 3T MRI sequence comprising of T</w:t>
      </w:r>
      <w:r>
        <w:rPr>
          <w:vertAlign w:val="subscript"/>
        </w:rPr>
        <w:t xml:space="preserve">1</w:t>
      </w:r>
      <w:r>
        <w:t xml:space="preserve">-weighted, T</w:t>
      </w:r>
      <w:r>
        <w:rPr>
          <w:vertAlign w:val="subscript"/>
        </w:rPr>
        <w:t xml:space="preserve">2</w:t>
      </w:r>
      <w:r>
        <w:t xml:space="preserve">-weighted, arterial spin labeling (ASL), and SWI. Days on three different categories of respiratory support, based on levels of invasiveness, were recorded. Using multiple linear regression, CBF and CMRO</w:t>
      </w:r>
      <w:r>
        <w:rPr>
          <w:vertAlign w:val="subscript"/>
        </w:rPr>
        <w:t xml:space="preserve">2</w:t>
      </w:r>
      <w:r>
        <w:t xml:space="preserve"> </w:t>
      </w:r>
      <w:r>
        <w:t xml:space="preserve">were analyzed against days on: respiratory support, days in room air, and the proportion of days on respiratory support; GA and PMA were used as confounding factors.</w:t>
      </w:r>
    </w:p>
    <w:p>
      <w:pPr>
        <w:pStyle w:val="TextBody"/>
      </w:pPr>
      <w:r>
        <w:rPr>
          <w:b/>
          <w:bCs/>
        </w:rPr>
        <w:t xml:space="preserve">RESULTS:</w:t>
      </w:r>
      <w:r>
        <w:t xml:space="preserve"> </w:t>
      </w:r>
      <w:r>
        <w:t xml:space="preserve">Average CBF and CMRO</w:t>
      </w:r>
      <w:r>
        <w:rPr>
          <w:vertAlign w:val="subscript"/>
        </w:rPr>
        <w:t xml:space="preserve">2</w:t>
      </w:r>
      <w:r>
        <w:t xml:space="preserve"> </w:t>
      </w:r>
      <w:r>
        <w:t xml:space="preserve">of cortical grey matter was 14.3 ± 4.25 mL / 100 g / min and 29.49 ± 29.49 µmol / 100 g / min, respectively. CMRO</w:t>
      </w:r>
      <w:r>
        <w:rPr>
          <w:vertAlign w:val="subscript"/>
        </w:rPr>
        <w:t xml:space="preserve">2</w:t>
      </w:r>
      <w:r>
        <w:t xml:space="preserve"> </w:t>
      </w:r>
      <w:r>
        <w:t xml:space="preserve">and CBF were positively correlated with days on non-invasive respiratory support, and negatively correlated with days in room air.</w:t>
      </w:r>
    </w:p>
    <w:p>
      <w:pPr>
        <w:pStyle w:val="TextBody"/>
      </w:pPr>
      <w:r>
        <w:rPr>
          <w:b/>
          <w:bCs/>
        </w:rPr>
        <w:t xml:space="preserve">CONCLUSION:</w:t>
      </w:r>
      <w:r>
        <w:t xml:space="preserve"> </w:t>
      </w:r>
      <w:r>
        <w:t xml:space="preserve">Using our novel method, CBF and CMRO</w:t>
      </w:r>
      <w:r>
        <w:rPr>
          <w:vertAlign w:val="subscript"/>
        </w:rPr>
        <w:t xml:space="preserve">2</w:t>
      </w:r>
      <w:r>
        <w:t xml:space="preserve"> </w:t>
      </w:r>
      <w:r>
        <w:t xml:space="preserve">values aligned closely with literature values. Our exploratory findings suggest that the type of respiratory support may influence cerebral oxygenation during the neonatal period in infants born very preterm, with greater oxygen delivery and consumption associated with non-invasive respiratory support. Our semi-regional brain analysis further highlights that different brain structures are impacted in distinct ways.</w:t>
      </w:r>
    </w:p>
    <w:bookmarkEnd w:id="21"/>
    <w:bookmarkStart w:id="22" w:name="sec-intro"/>
    <w:p>
      <w:pPr>
        <w:pStyle w:val="Heading1"/>
      </w:pPr>
      <w:r>
        <w:t xml:space="preserve">Introduction</w:t>
      </w:r>
    </w:p>
    <w:p>
      <w:pPr>
        <w:pStyle w:val="FirstParagraph"/>
      </w:pPr>
      <w:r>
        <w:t xml:space="preserve">The developing brains of preterm infants are vulnerable to injury and dysmaturation, which can result in long-term neurological deficits</w:t>
      </w:r>
      <w:r>
        <w:rPr>
          <w:vertAlign w:val="superscript"/>
        </w:rPr>
        <w:t xml:space="preserve">1</w:t>
      </w:r>
      <w:r>
        <w:t xml:space="preserve">. Infants born very preterm (≤ 32 weeks gestation) are particularly at risk for significant short and long-term respiratory problems, and the lower the gestational age at birth, the more likely the infant may be negatively impacted</w:t>
      </w:r>
      <w:r>
        <w:rPr>
          <w:vertAlign w:val="superscript"/>
        </w:rPr>
        <w:t xml:space="preserve">2</w:t>
      </w:r>
      <w:r>
        <w:t xml:space="preserve">. To mitigate these risks, it is crucial to monitor brain hemodynamics, as instability in oxygen delivery and metabolism can contribute to these injuries</w:t>
      </w:r>
      <w:r>
        <w:rPr>
          <w:vertAlign w:val="superscript"/>
        </w:rPr>
        <w:t xml:space="preserve">3</w:t>
      </w:r>
      <w:r>
        <w:t xml:space="preserve">. These infants are also at significant risk of respiratory disorders, such as respiratory distress syndrome</w:t>
      </w:r>
      <w:r>
        <w:rPr>
          <w:vertAlign w:val="superscript"/>
        </w:rPr>
        <w:t xml:space="preserve">4</w:t>
      </w:r>
      <w:r>
        <w:t xml:space="preserve">, and bronchopulmonary dysplasia</w:t>
      </w:r>
      <w:r>
        <w:rPr>
          <w:vertAlign w:val="superscript"/>
        </w:rPr>
        <w:t xml:space="preserve">5</w:t>
      </w:r>
      <w:r>
        <w:t xml:space="preserve">. Finding ways to prevent these respiratory disorders, and support lung development, is critically important as lung health helps determine the amount of oxygen the brain receives</w:t>
      </w:r>
      <w:r>
        <w:rPr>
          <w:vertAlign w:val="superscript"/>
        </w:rPr>
        <w:t xml:space="preserve">6,7</w:t>
      </w:r>
      <w:r>
        <w:t xml:space="preserve">. Therefore, close monitoring of cerebral oxygenation is critical to identify these risks early and apply neuroprotective strategies that may mitigate long-term neurological consequences.</w:t>
      </w:r>
    </w:p>
    <w:p>
      <w:pPr>
        <w:pStyle w:val="TextBody"/>
      </w:pPr>
      <w:r>
        <w:t xml:space="preserve">In the NICU, to aid in respiration and improve lung function, various strategies including different forms of ventilation can be used, where the general goal is to decrease days of invasive mechanical ventilation. Non-invasive modes of ventilation, such as continuous positive airway pressure and nasal intermittent positive pressure ventilation, have been shown to be effective in lowering rates of complications and mortality compared to intubation with mechanical ventilation</w:t>
      </w:r>
      <w:r>
        <w:rPr>
          <w:vertAlign w:val="superscript"/>
        </w:rPr>
        <w:t xml:space="preserve">8–11</w:t>
      </w:r>
      <w:r>
        <w:t xml:space="preserve">. With advances in neonatal intensive care and the use of less invasive forms of respiratory support, the incidence of bronchopulmonary dysplasia and other respiratory complications in preterm neonates has decreased over time</w:t>
      </w:r>
      <w:r>
        <w:rPr>
          <w:vertAlign w:val="superscript"/>
        </w:rPr>
        <w:t xml:space="preserve">12</w:t>
      </w:r>
      <w:r>
        <w:t xml:space="preserve">. However, the optimal mode and timing of ventilation in preterm neonates with respiratory disorders are still being debated</w:t>
      </w:r>
      <w:r>
        <w:rPr>
          <w:vertAlign w:val="superscript"/>
        </w:rPr>
        <w:t xml:space="preserve">13–16</w:t>
      </w:r>
    </w:p>
    <w:p>
      <w:pPr>
        <w:pStyle w:val="TextBody"/>
      </w:pPr>
      <w:r>
        <w:t xml:space="preserve">Non-invasive MRI-based techniques are actively being explored to assess whole-brain oxygen consumption. One approach combines non-invasive venous oxygenation measurements from the sagittal sinus using T</w:t>
      </w:r>
      <w:r>
        <w:rPr>
          <w:vertAlign w:val="subscript"/>
        </w:rPr>
        <w:t xml:space="preserve">2</w:t>
      </w:r>
      <w:r>
        <w:t xml:space="preserve">-relaxation-under-spin-tagging magnetic resonance imaging (TRUST</w:t>
      </w:r>
      <w:r>
        <w:rPr>
          <w:vertAlign w:val="superscript"/>
        </w:rPr>
        <w:t xml:space="preserve">17</w:t>
      </w:r>
      <w:r>
        <w:t xml:space="preserve">) with flow measurements from phase-contrast MR angiography, which has been used in adults</w:t>
      </w:r>
      <w:r>
        <w:rPr>
          <w:vertAlign w:val="superscript"/>
        </w:rPr>
        <w:t xml:space="preserve">18</w:t>
      </w:r>
      <w:r>
        <w:t xml:space="preserve"> </w:t>
      </w:r>
      <w:r>
        <w:t xml:space="preserve">and has shown feasibility in neonates</w:t>
      </w:r>
      <w:r>
        <w:rPr>
          <w:vertAlign w:val="superscript"/>
        </w:rPr>
        <w:t xml:space="preserve">19,20</w:t>
      </w:r>
      <w:r>
        <w:t xml:space="preserve">. Another method combines MR susceptometry to measure venous oxygenation in the sagittal sinus with phase-contrast MR angiography</w:t>
      </w:r>
      <w:r>
        <w:rPr>
          <w:vertAlign w:val="superscript"/>
        </w:rPr>
        <w:t xml:space="preserve">21</w:t>
      </w:r>
      <w:r>
        <w:t xml:space="preserve">. Studies using these techniques in neonates demonstrated that the results correlate well with those obtained through diffuse optical and correlation spectroscopy methods</w:t>
      </w:r>
      <w:r>
        <w:rPr>
          <w:vertAlign w:val="superscript"/>
        </w:rPr>
        <w:t xml:space="preserve">22</w:t>
      </w:r>
      <w:r>
        <w:t xml:space="preserve">. Still another method applied in neonates is the T</w:t>
      </w:r>
      <w:r>
        <w:rPr>
          <w:vertAlign w:val="subscript"/>
        </w:rPr>
        <w:t xml:space="preserve">2</w:t>
      </w:r>
      <w:r>
        <w:t xml:space="preserve"> </w:t>
      </w:r>
      <w:r>
        <w:t xml:space="preserve">prepared tissue relaxation inversion recovery (T</w:t>
      </w:r>
      <w:r>
        <w:rPr>
          <w:vertAlign w:val="subscript"/>
        </w:rPr>
        <w:t xml:space="preserve">2</w:t>
      </w:r>
      <w:r>
        <w:t xml:space="preserve">-TRIR) MRI pulse sequence</w:t>
      </w:r>
      <w:r>
        <w:rPr>
          <w:vertAlign w:val="superscript"/>
        </w:rPr>
        <w:t xml:space="preserve">23</w:t>
      </w:r>
      <w:r>
        <w:t xml:space="preserve">, which measures the transverse and longitudinal relaxation rate of blood (T</w:t>
      </w:r>
      <w:r>
        <w:rPr>
          <w:vertAlign w:val="subscript"/>
        </w:rPr>
        <w:t xml:space="preserve">2b</w:t>
      </w:r>
      <w:r>
        <w:t xml:space="preserve"> </w:t>
      </w:r>
      <w:r>
        <w:t xml:space="preserve">and T</w:t>
      </w:r>
      <w:r>
        <w:rPr>
          <w:vertAlign w:val="subscript"/>
        </w:rPr>
        <w:t xml:space="preserve">1b</w:t>
      </w:r>
      <w:r>
        <w:t xml:space="preserve">) in the sagittal sinus, and venous oxygenation subsequently derived from the T</w:t>
      </w:r>
      <w:r>
        <w:rPr>
          <w:vertAlign w:val="subscript"/>
        </w:rPr>
        <w:t xml:space="preserve">2b</w:t>
      </w:r>
      <w:r>
        <w:t xml:space="preserve"> </w:t>
      </w:r>
      <w:r>
        <w:t xml:space="preserve">and the T</w:t>
      </w:r>
      <w:r>
        <w:rPr>
          <w:vertAlign w:val="subscript"/>
        </w:rPr>
        <w:t xml:space="preserve">1b</w:t>
      </w:r>
      <w:r>
        <w:t xml:space="preserve">-derived hematocrit</w:t>
      </w:r>
      <w:r>
        <w:rPr>
          <w:vertAlign w:val="superscript"/>
        </w:rPr>
        <w:t xml:space="preserve">24</w:t>
      </w:r>
      <w:r>
        <w:t xml:space="preserve">.</w:t>
      </w:r>
    </w:p>
    <w:p>
      <w:pPr>
        <w:pStyle w:val="TextBody"/>
      </w:pPr>
      <w:r>
        <w:t xml:space="preserve">In the current study, we propose a new method using quantitative susceptibility mapping (QSM) and arterial spin labeling (ASL) – in combination with hematocrit (Hct) and pulse oximetry – to determine whole-brain semi-regional cerebral metabolic rate of oxygen (CMRO</w:t>
      </w:r>
      <w:r>
        <w:rPr>
          <w:vertAlign w:val="subscript"/>
        </w:rPr>
        <w:t xml:space="preserve">2</w:t>
      </w:r>
      <w:r>
        <w:t xml:space="preserve">) and regional CBF. In order to investigate the validity of this new non-invasive approach we compared the obtained results to previously reported reference values</w:t>
      </w:r>
      <w:r>
        <w:rPr>
          <w:vertAlign w:val="superscript"/>
        </w:rPr>
        <w:t xml:space="preserve">19,20,25–29</w:t>
      </w:r>
      <w:r>
        <w:t xml:space="preserve">. In addition, we conducted an exploratory analysis to evaluate if the technique can detect whether the degree of lung disease, as indicated by the duration of time on different levels of respiratory support in very-preterm neonates, is correlated with brain oxygenation measures CMRO</w:t>
      </w:r>
      <w:r>
        <w:rPr>
          <w:vertAlign w:val="subscript"/>
        </w:rPr>
        <w:t xml:space="preserve">2</w:t>
      </w:r>
      <w:r>
        <w:t xml:space="preserve"> </w:t>
      </w:r>
      <w:r>
        <w:t xml:space="preserve">and CBF in different brain regions at term-equivalent age. We hypothesized the CMRO</w:t>
      </w:r>
      <w:r>
        <w:rPr>
          <w:vertAlign w:val="subscript"/>
        </w:rPr>
        <w:t xml:space="preserve">2</w:t>
      </w:r>
      <w:r>
        <w:t xml:space="preserve"> </w:t>
      </w:r>
      <w:r>
        <w:t xml:space="preserve">and CBF would be negatively correlated with time on invasive respiratory support.</w:t>
      </w:r>
    </w:p>
    <w:bookmarkEnd w:id="22"/>
    <w:bookmarkStart w:id="37" w:name="methods"/>
    <w:p>
      <w:pPr>
        <w:pStyle w:val="Heading1"/>
      </w:pPr>
      <w:r>
        <w:t xml:space="preserve">Methods</w:t>
      </w:r>
    </w:p>
    <w:bookmarkStart w:id="23" w:name="strobe"/>
    <w:p>
      <w:pPr>
        <w:pStyle w:val="Heading2"/>
      </w:pPr>
      <w:r>
        <w:t xml:space="preserve">STROBE</w:t>
      </w:r>
    </w:p>
    <w:p>
      <w:pPr>
        <w:pStyle w:val="FirstParagraph"/>
      </w:pPr>
      <w:r>
        <w:t xml:space="preserve">The methodology and its reporting have followed the STrengthening the Reporting of OBservational studies in Epidemiology (STROBE) standards. We include the checklist for a cohort study in our Supplementary Materials.</w:t>
      </w:r>
    </w:p>
    <w:bookmarkEnd w:id="23"/>
    <w:bookmarkStart w:id="25" w:name="patients"/>
    <w:p>
      <w:pPr>
        <w:pStyle w:val="Heading2"/>
      </w:pPr>
      <w:r>
        <w:t xml:space="preserve">Patients</w:t>
      </w:r>
    </w:p>
    <w:p>
      <w:pPr>
        <w:pStyle w:val="FirstParagraph"/>
      </w:pPr>
      <w:r>
        <w:t xml:space="preserve">The study was approved by the Clinical Research Ethics Board at the</w:t>
      </w:r>
      <w:r>
        <w:t xml:space="preserve"> </w:t>
      </w:r>
      <w:r>
        <w:t xml:space="preserve"> </w:t>
      </w:r>
      <w:r>
        <w:t xml:space="preserve">*** and written informed consent was obtained from the parent/guardian for each infant.</w:t>
      </w:r>
    </w:p>
    <w:p>
      <w:pPr>
        <w:pStyle w:val="TextBody"/>
      </w:pPr>
      <w:r>
        <w:t xml:space="preserve">Preterm neonates born &lt; 32 weeks gestational age (GA) (n=20) admitted to the level III neonatal intensive care unit (NICU) at</w:t>
      </w:r>
      <w:r>
        <w:t xml:space="preserve"> </w:t>
      </w:r>
      <w:r>
        <w:t xml:space="preserve"> </w:t>
      </w:r>
      <w:r>
        <w:t xml:space="preserve">*** in</w:t>
      </w:r>
      <w:r>
        <w:t xml:space="preserve"> </w:t>
      </w:r>
      <w:r>
        <w:t xml:space="preserve"> </w:t>
      </w:r>
      <w:r>
        <w:t xml:space="preserve">*** were recruited by a research nurse from February 2021 to January 2022. Our sample size was determined based on similar recruitment numbers from previous studies</w:t>
      </w:r>
      <w:r>
        <w:rPr>
          <w:vertAlign w:val="superscript"/>
        </w:rPr>
        <w:t xml:space="preserve">19,20,25–29</w:t>
      </w:r>
      <w:r>
        <w:t xml:space="preserve">. Inclusion criteria were infants born less than 32 weeks GA. Infants were excluded if there was evidence of a congenital malformation or syndrome, a TORCH infection, or ultrasound evidence of large periventricular hemorrhagic infarction (&gt; 2 cm, Grade 4 intra-ventricular hemorrhage). Parents were approached by the research nurse about the study shortly before being discharged from the NICU. Infants returned to the hospital for the study at TEA (37 - 44 weeks PMA) for the MRI scan. One infant remained in hospital on respiratory support at 44 weeks PMA, and was withdrawn from the study. The final number of infants scanned was 19. The clinical characteristics of the subjects are shown in</w:t>
      </w:r>
      <w:r>
        <w:t xml:space="preserve"> </w:t>
      </w:r>
      <w:hyperlink w:anchor="tbl-characteristics">
        <w:r>
          <w:rPr>
            <w:rStyle w:val="InternetLink"/>
          </w:rPr>
          <w:t xml:space="preserve">Table 1</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24" w:name="tbl-characteristics"/>
          <w:p>
            <w:pPr>
              <w:jc w:val="center"/>
            </w:pPr>
            <w:pPr>
              <w:jc w:val="left"/>
              <w:spacing w:before="200"/>
              <w:pStyle w:val="ImageCaption"/>
            </w:pPr>
            <w:r>
              <w:rPr>
                <w:b/>
                <w:bCs/>
              </w:rPr>
              <w:t xml:space="preserve">Table</w:t>
            </w:r>
            <w:r>
              <w:t xml:space="preserve"> 1</w:t>
            </w:r>
            <w:r>
              <w:rPr>
                <w:b/>
                <w:bCs/>
              </w:rPr>
              <w:t xml:space="preserve">.</w:t>
            </w:r>
            <w:r>
              <w:t xml:space="preserve"> </w:t>
            </w:r>
            <w:r>
              <w:rPr>
                <w:b/>
                <w:bCs/>
              </w:rPr>
              <w:t xml:space="preserve">Neonatal and maternal characteristic of the study sample.</w:t>
            </w:r>
          </w:p>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3262"/>
              <w:gridCol w:w="1631"/>
              <w:gridCol w:w="5469"/>
              <w:gridCol w:w="2932"/>
            </w:tblGrid>
            <w:tr>
              <w:trPr>
                <w:trHeight w:val="607" w:hRule="auto"/>
                <w:tblHeader/>
              </w:trPr>
              header 1
              <w:tc>
                <w:tcPr>
                  <w:gridSpan w:val="2"/>
                  <w:tcBorders>
                    <w:bottom w:val="none" w:sz="0" w:space="0" w:color="000000"/>
                    <w:top w:val="none" w:sz="0" w:space="0" w:color="000000"/>
                    <w:left w:val="none" w:sz="0" w:space="0" w:color="000000"/>
                    <w:right w:val="none" w:sz="0" w:space="0" w:color="000000"/>
                  </w:tcBorders>
                  <w:shd w:val="clear" w:color="auto" w:fill="D3D3D3"/>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Maternal Characteristics (n=19)</w:t>
                  </w:r>
                </w:p>
              </w:tc>
              <w:tc>
                <w:tcPr>
                  <w:gridSpan w:val="2"/>
                  <w:tcBorders>
                    <w:bottom w:val="none" w:sz="0" w:space="0" w:color="000000"/>
                    <w:top w:val="none" w:sz="0" w:space="0" w:color="000000"/>
                    <w:left w:val="none" w:sz="0" w:space="0" w:color="000000"/>
                    <w:right w:val="none" w:sz="0" w:space="0" w:color="000000"/>
                  </w:tcBorders>
                  <w:shd w:val="clear" w:color="auto" w:fill="D3D3D3"/>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Neonatal Characteristics (n=19)</w:t>
                  </w:r>
                </w:p>
              </w:tc>
            </w:tr>
            <w:tr>
              <w:trPr>
                <w:trHeight w:val="607" w:hRule="auto"/>
              </w:trPr>
              body 1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Gestational</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Diabetes</w:t>
                  </w:r>
                </w:p>
              </w:tc>
              <w:tc>
                <w:tcPr>
                  <w:tcBorders>
                    <w:bottom w:val="none" w:sz="0" w:space="0" w:color="000000"/>
                    <w:top w:val="none" w:sz="0" w:space="0" w:color="000000"/>
                    <w:left w:val="none" w:sz="0" w:space="0" w:color="000000"/>
                    <w:right w:val="single" w:sz="8" w:space="0" w:color="666666"/>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6</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(31.6%)</w:t>
                  </w:r>
                </w:p>
              </w:tc>
              <w:tc>
                <w:tcPr>
                  <w:tcBorders>
                    <w:bottom w:val="none" w:sz="0" w:space="0" w:color="000000"/>
                    <w:top w:val="none" w:sz="0" w:space="0" w:color="000000"/>
                    <w:left w:val="single" w:sz="8" w:space="0" w:color="666666"/>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Male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(n)</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10</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(52.6%)</w:t>
                  </w:r>
                </w:p>
              </w:tc>
            </w:tr>
            <w:tr>
              <w:trPr>
                <w:trHeight w:val="624" w:hRule="auto"/>
              </w:trPr>
              body 2
              <w:tc>
                <w:tcPr>
                  <w:gridSpan w:val="2"/>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true"/>
                      <w:b w:val="true"/>
                      <w:u w:val="none"/>
                      <w:sz w:val="22"/>
                      <w:szCs w:val="22"/>
                      <w:color w:val="000000"/>
                    </w:rPr>
                    <w:t xml:space="preserve">Delivery</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tru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true"/>
                      <w:b w:val="true"/>
                      <w:u w:val="none"/>
                      <w:sz w:val="22"/>
                      <w:szCs w:val="22"/>
                      <w:color w:val="000000"/>
                    </w:rPr>
                    <w:t xml:space="preserve">Mode</w:t>
                  </w:r>
                </w:p>
              </w:tc>
              <w:tc>
                <w:tcPr>
                  <w:tcBorders>
                    <w:bottom w:val="none" w:sz="0" w:space="0" w:color="000000"/>
                    <w:top w:val="none" w:sz="0" w:space="0" w:color="000000"/>
                    <w:left w:val="single" w:sz="8" w:space="0" w:color="666666"/>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Female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(n)</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9</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(47.4%)</w:t>
                  </w:r>
                </w:p>
              </w:tc>
            </w:tr>
            <w:tr>
              <w:trPr>
                <w:trHeight w:val="624" w:hRule="auto"/>
              </w:trPr>
              body 3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Cesarean</w:t>
                  </w:r>
                </w:p>
              </w:tc>
              <w:tc>
                <w:tcPr>
                  <w:tcBorders>
                    <w:bottom w:val="none" w:sz="0" w:space="0" w:color="000000"/>
                    <w:top w:val="none" w:sz="0" w:space="0" w:color="000000"/>
                    <w:left w:val="none" w:sz="0" w:space="0" w:color="000000"/>
                    <w:right w:val="single" w:sz="8" w:space="0" w:color="666666"/>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16</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(84.2%)</w:t>
                  </w:r>
                </w:p>
              </w:tc>
              <w:tc>
                <w:tcPr>
                  <w:tcBorders>
                    <w:bottom w:val="none" w:sz="0" w:space="0" w:color="000000"/>
                    <w:top w:val="none" w:sz="0" w:space="0" w:color="000000"/>
                    <w:left w:val="single" w:sz="8" w:space="0" w:color="666666"/>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Birth</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weight</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(g)</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1,304</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(1054.5–1484.5)</w:t>
                  </w:r>
                </w:p>
              </w:tc>
            </w:tr>
            <w:tr>
              <w:trPr>
                <w:trHeight w:val="624" w:hRule="auto"/>
              </w:trPr>
              body 4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Vaginal</w:t>
                  </w:r>
                </w:p>
              </w:tc>
              <w:tc>
                <w:tcPr>
                  <w:tcBorders>
                    <w:bottom w:val="none" w:sz="0" w:space="0" w:color="000000"/>
                    <w:top w:val="none" w:sz="0" w:space="0" w:color="000000"/>
                    <w:left w:val="none" w:sz="0" w:space="0" w:color="000000"/>
                    <w:right w:val="single" w:sz="8" w:space="0" w:color="666666"/>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3</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(15.8%)</w:t>
                  </w:r>
                </w:p>
              </w:tc>
              <w:tc>
                <w:tcPr>
                  <w:tcBorders>
                    <w:bottom w:val="none" w:sz="0" w:space="0" w:color="000000"/>
                    <w:top w:val="none" w:sz="0" w:space="0" w:color="000000"/>
                    <w:left w:val="single" w:sz="8" w:space="0" w:color="666666"/>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GA</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at</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Birth</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(weeks)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28.86</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(27.79–29.93)</w:t>
                  </w:r>
                </w:p>
              </w:tc>
            </w:tr>
            <w:tr>
              <w:trPr>
                <w:trHeight w:val="624" w:hRule="auto"/>
              </w:trPr>
              body 5
              <w:tc>
                <w:tcPr>
                  <w:gridSpan w:val="2"/>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true"/>
                      <w:b w:val="true"/>
                      <w:u w:val="none"/>
                      <w:sz w:val="22"/>
                      <w:szCs w:val="22"/>
                      <w:color w:val="000000"/>
                    </w:rPr>
                    <w:t xml:space="preserve">Maternal</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tru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true"/>
                      <w:b w:val="true"/>
                      <w:u w:val="none"/>
                      <w:sz w:val="22"/>
                      <w:szCs w:val="22"/>
                      <w:color w:val="000000"/>
                    </w:rPr>
                    <w:t xml:space="preserve">Fever</w:t>
                  </w:r>
                </w:p>
              </w:tc>
              <w:tc>
                <w:tcPr>
                  <w:tcBorders>
                    <w:bottom w:val="none" w:sz="0" w:space="0" w:color="000000"/>
                    <w:top w:val="none" w:sz="0" w:space="0" w:color="000000"/>
                    <w:left w:val="single" w:sz="8" w:space="0" w:color="666666"/>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PMA</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on</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Scan</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Day</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(weeks)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40.57</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(39.29–41.36)</w:t>
                  </w:r>
                </w:p>
              </w:tc>
            </w:tr>
            <w:tr>
              <w:trPr>
                <w:trHeight w:val="624" w:hRule="auto"/>
              </w:trPr>
              body 6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Yes</w:t>
                  </w:r>
                </w:p>
              </w:tc>
              <w:tc>
                <w:tcPr>
                  <w:tcBorders>
                    <w:bottom w:val="none" w:sz="0" w:space="0" w:color="000000"/>
                    <w:top w:val="none" w:sz="0" w:space="0" w:color="000000"/>
                    <w:left w:val="none" w:sz="0" w:space="0" w:color="000000"/>
                    <w:right w:val="single" w:sz="8" w:space="0" w:color="666666"/>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1</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(5.3%)</w:t>
                  </w:r>
                </w:p>
              </w:tc>
              <w:tc>
                <w:tcPr>
                  <w:tcBorders>
                    <w:bottom w:val="none" w:sz="0" w:space="0" w:color="000000"/>
                    <w:top w:val="none" w:sz="0" w:space="0" w:color="000000"/>
                    <w:left w:val="single" w:sz="8" w:space="0" w:color="666666"/>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Weight</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on</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Scan</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Day</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(g)</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3,330</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(2,990–3,910)</w:t>
                  </w:r>
                </w:p>
              </w:tc>
            </w:tr>
            <w:tr>
              <w:trPr>
                <w:trHeight w:val="624" w:hRule="auto"/>
              </w:trPr>
              body 7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No</w:t>
                  </w:r>
                </w:p>
              </w:tc>
              <w:tc>
                <w:tcPr>
                  <w:tcBorders>
                    <w:bottom w:val="none" w:sz="0" w:space="0" w:color="000000"/>
                    <w:top w:val="none" w:sz="0" w:space="0" w:color="000000"/>
                    <w:left w:val="none" w:sz="0" w:space="0" w:color="000000"/>
                    <w:right w:val="single" w:sz="8" w:space="0" w:color="666666"/>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6</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(31.6%)</w:t>
                  </w:r>
                </w:p>
              </w:tc>
              <w:tc>
                <w:tcPr>
                  <w:tcBorders>
                    <w:bottom w:val="none" w:sz="0" w:space="0" w:color="000000"/>
                    <w:top w:val="none" w:sz="0" w:space="0" w:color="000000"/>
                    <w:left w:val="single" w:sz="8" w:space="0" w:color="666666"/>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Head</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Circumference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on</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Scan</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Day</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(cm)</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35.50</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(33.75–36.00)</w:t>
                  </w:r>
                </w:p>
              </w:tc>
            </w:tr>
            <w:tr>
              <w:trPr>
                <w:trHeight w:val="624" w:hRule="auto"/>
              </w:trPr>
              body 8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Unknown</w:t>
                  </w:r>
                </w:p>
              </w:tc>
              <w:tc>
                <w:tcPr>
                  <w:tcBorders>
                    <w:bottom w:val="none" w:sz="0" w:space="0" w:color="000000"/>
                    <w:top w:val="none" w:sz="0" w:space="0" w:color="000000"/>
                    <w:left w:val="none" w:sz="0" w:space="0" w:color="000000"/>
                    <w:right w:val="single" w:sz="8" w:space="0" w:color="666666"/>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12</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(63.2%)</w:t>
                  </w:r>
                </w:p>
              </w:tc>
              <w:tc>
                <w:tcPr>
                  <w:tcBorders>
                    <w:bottom w:val="none" w:sz="0" w:space="0" w:color="000000"/>
                    <w:top w:val="none" w:sz="0" w:space="0" w:color="000000"/>
                    <w:left w:val="single" w:sz="8" w:space="0" w:color="666666"/>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Days</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in</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NICU</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53</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(37–60)</w:t>
                  </w:r>
                </w:p>
              </w:tc>
            </w:tr>
            <w:tr>
              <w:trPr>
                <w:trHeight w:val="624" w:hRule="auto"/>
              </w:trPr>
              body 9
              <w:tc>
                <w:tcPr>
                  <w:gridSpan w:val="2"/>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true"/>
                      <w:b w:val="true"/>
                      <w:u w:val="none"/>
                      <w:sz w:val="22"/>
                      <w:szCs w:val="22"/>
                      <w:color w:val="000000"/>
                    </w:rPr>
                    <w:t xml:space="preserve">Chorioamnionitis</w:t>
                  </w:r>
                </w:p>
              </w:tc>
              <w:tc>
                <w:tcPr>
                  <w:tcBorders>
                    <w:bottom w:val="none" w:sz="0" w:space="0" w:color="000000"/>
                    <w:top w:val="none" w:sz="0" w:space="0" w:color="000000"/>
                    <w:left w:val="single" w:sz="8" w:space="0" w:color="666666"/>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Days</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on</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Sedatives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(0–0)</w:t>
                  </w:r>
                </w:p>
              </w:tc>
            </w:tr>
            <w:tr>
              <w:trPr>
                <w:trHeight w:val="624" w:hRule="auto"/>
              </w:trPr>
              body10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Yes</w:t>
                  </w:r>
                </w:p>
              </w:tc>
              <w:tc>
                <w:tcPr>
                  <w:tcBorders>
                    <w:bottom w:val="none" w:sz="0" w:space="0" w:color="000000"/>
                    <w:top w:val="none" w:sz="0" w:space="0" w:color="000000"/>
                    <w:left w:val="none" w:sz="0" w:space="0" w:color="000000"/>
                    <w:right w:val="single" w:sz="8" w:space="0" w:color="666666"/>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4</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(21%)</w:t>
                  </w:r>
                </w:p>
              </w:tc>
              <w:tc>
                <w:tcPr>
                  <w:tcBorders>
                    <w:bottom w:val="none" w:sz="0" w:space="0" w:color="000000"/>
                    <w:top w:val="none" w:sz="0" w:space="0" w:color="000000"/>
                    <w:left w:val="single" w:sz="8" w:space="0" w:color="666666"/>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Days</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on</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Narcotic</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Infusion</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1</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(0–2)</w:t>
                  </w:r>
                </w:p>
              </w:tc>
            </w:tr>
            <w:tr>
              <w:trPr>
                <w:trHeight w:val="624" w:hRule="auto"/>
              </w:trPr>
              body11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No</w:t>
                  </w:r>
                </w:p>
              </w:tc>
              <w:tc>
                <w:tcPr>
                  <w:tcBorders>
                    <w:bottom w:val="none" w:sz="0" w:space="0" w:color="000000"/>
                    <w:top w:val="none" w:sz="0" w:space="0" w:color="000000"/>
                    <w:left w:val="none" w:sz="0" w:space="0" w:color="000000"/>
                    <w:right w:val="single" w:sz="8" w:space="0" w:color="666666"/>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12</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(63.2%)</w:t>
                  </w:r>
                </w:p>
              </w:tc>
              <w:tc>
                <w:tcPr>
                  <w:tcBorders>
                    <w:bottom w:val="none" w:sz="0" w:space="0" w:color="000000"/>
                    <w:top w:val="none" w:sz="0" w:space="0" w:color="000000"/>
                    <w:left w:val="single" w:sz="8" w:space="0" w:color="666666"/>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Days</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on</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Category</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1</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(invasive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ventilation)</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2</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(0–4)</w:t>
                  </w:r>
                </w:p>
              </w:tc>
            </w:tr>
            <w:tr>
              <w:trPr>
                <w:trHeight w:val="624" w:hRule="auto"/>
              </w:trPr>
              body12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Unknown</w:t>
                  </w:r>
                </w:p>
              </w:tc>
              <w:tc>
                <w:tcPr>
                  <w:tcBorders>
                    <w:bottom w:val="none" w:sz="0" w:space="0" w:color="000000"/>
                    <w:top w:val="none" w:sz="0" w:space="0" w:color="000000"/>
                    <w:left w:val="none" w:sz="0" w:space="0" w:color="000000"/>
                    <w:right w:val="single" w:sz="8" w:space="0" w:color="666666"/>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3</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(15.8%)</w:t>
                  </w:r>
                </w:p>
              </w:tc>
              <w:tc>
                <w:tcPr>
                  <w:tcBorders>
                    <w:bottom w:val="none" w:sz="0" w:space="0" w:color="000000"/>
                    <w:top w:val="none" w:sz="0" w:space="0" w:color="000000"/>
                    <w:left w:val="single" w:sz="8" w:space="0" w:color="666666"/>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Days</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on</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Category</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2</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(non-invasive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ventilation)</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19</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(11.5–32)</w:t>
                  </w:r>
                </w:p>
              </w:tc>
            </w:tr>
            <w:tr>
              <w:trPr>
                <w:trHeight w:val="624" w:hRule="auto"/>
              </w:trPr>
              body13
              <w:tc>
                <w:tcPr>
                  <w:gridSpan w:val="2"/>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true"/>
                      <w:b w:val="true"/>
                      <w:u w:val="none"/>
                      <w:sz w:val="22"/>
                      <w:szCs w:val="22"/>
                      <w:color w:val="000000"/>
                    </w:rPr>
                    <w:t xml:space="preserve">Leukocytosis</w:t>
                  </w:r>
                </w:p>
              </w:tc>
              <w:tc>
                <w:tcPr>
                  <w:tcBorders>
                    <w:bottom w:val="none" w:sz="0" w:space="0" w:color="000000"/>
                    <w:top w:val="none" w:sz="0" w:space="0" w:color="000000"/>
                    <w:left w:val="single" w:sz="8" w:space="0" w:color="666666"/>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Days</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on</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Category</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3</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(high-flow/low-flow)</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7</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(5.5–12)</w:t>
                  </w:r>
                </w:p>
              </w:tc>
            </w:tr>
            <w:tr>
              <w:trPr>
                <w:trHeight w:val="624" w:hRule="auto"/>
              </w:trPr>
              body14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Yes</w:t>
                  </w:r>
                </w:p>
              </w:tc>
              <w:tc>
                <w:tcPr>
                  <w:tcBorders>
                    <w:bottom w:val="none" w:sz="0" w:space="0" w:color="000000"/>
                    <w:top w:val="none" w:sz="0" w:space="0" w:color="000000"/>
                    <w:left w:val="none" w:sz="0" w:space="0" w:color="000000"/>
                    <w:right w:val="single" w:sz="8" w:space="0" w:color="666666"/>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1</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(5.3%)</w:t>
                  </w:r>
                </w:p>
              </w:tc>
              <w:tc>
                <w:tcPr>
                  <w:tcBorders>
                    <w:bottom w:val="none" w:sz="0" w:space="0" w:color="000000"/>
                    <w:top w:val="none" w:sz="0" w:space="0" w:color="000000"/>
                    <w:left w:val="single" w:sz="8" w:space="0" w:color="666666"/>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Total</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Days</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on</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Respiratory</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Support</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31</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(23–51.5)</w:t>
                  </w:r>
                </w:p>
              </w:tc>
            </w:tr>
            <w:tr>
              <w:trPr>
                <w:trHeight w:val="624" w:hRule="auto"/>
              </w:trPr>
              body15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No</w:t>
                  </w:r>
                </w:p>
              </w:tc>
              <w:tc>
                <w:tcPr>
                  <w:tcBorders>
                    <w:bottom w:val="none" w:sz="0" w:space="0" w:color="000000"/>
                    <w:top w:val="none" w:sz="0" w:space="0" w:color="000000"/>
                    <w:left w:val="none" w:sz="0" w:space="0" w:color="000000"/>
                    <w:right w:val="single" w:sz="8" w:space="0" w:color="666666"/>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4</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(21%)</w:t>
                  </w:r>
                </w:p>
              </w:tc>
              <w:tc>
                <w:tcPr>
                  <w:tcBorders>
                    <w:bottom w:val="none" w:sz="0" w:space="0" w:color="000000"/>
                    <w:top w:val="none" w:sz="0" w:space="0" w:color="000000"/>
                    <w:left w:val="single" w:sz="8" w:space="0" w:color="666666"/>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Days</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in</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Room</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Air</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11</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(3.5–23)</w:t>
                  </w:r>
                </w:p>
              </w:tc>
            </w:tr>
            <w:tr>
              <w:trPr>
                <w:trHeight w:val="607" w:hRule="auto"/>
              </w:trPr>
              body16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Unknown</w:t>
                  </w:r>
                </w:p>
              </w:tc>
              <w:tc>
                <w:tcPr>
                  <w:tcBorders>
                    <w:bottom w:val="none" w:sz="0" w:space="0" w:color="000000"/>
                    <w:top w:val="none" w:sz="0" w:space="0" w:color="000000"/>
                    <w:left w:val="none" w:sz="0" w:space="0" w:color="000000"/>
                    <w:right w:val="single" w:sz="8" w:space="0" w:color="666666"/>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14</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(73.7%)</w:t>
                  </w:r>
                </w:p>
              </w:tc>
              <w:tc>
                <w:tcPr>
                  <w:tcBorders>
                    <w:bottom w:val="none" w:sz="0" w:space="0" w:color="000000"/>
                    <w:top w:val="none" w:sz="0" w:space="0" w:color="000000"/>
                    <w:left w:val="single" w:sz="8" w:space="0" w:color="666666"/>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r>
                </w:p>
              </w:tc>
            </w:tr>
            <w:tr>
              <w:trPr>
                <w:trHeight w:val="624" w:hRule="auto"/>
              </w:trPr>
              body17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Gestational</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Hypertension</w:t>
                  </w:r>
                </w:p>
              </w:tc>
              <w:tc>
                <w:tcPr>
                  <w:tcBorders>
                    <w:bottom w:val="none" w:sz="0" w:space="0" w:color="000000"/>
                    <w:top w:val="none" w:sz="0" w:space="0" w:color="000000"/>
                    <w:left w:val="none" w:sz="0" w:space="0" w:color="000000"/>
                    <w:right w:val="single" w:sz="8" w:space="0" w:color="666666"/>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3</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(15.8%)</w:t>
                  </w:r>
                </w:p>
              </w:tc>
              <w:tc>
                <w:tcPr>
                  <w:tcBorders>
                    <w:bottom w:val="none" w:sz="0" w:space="0" w:color="000000"/>
                    <w:top w:val="none" w:sz="0" w:space="0" w:color="000000"/>
                    <w:left w:val="single" w:sz="8" w:space="0" w:color="666666"/>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r>
                </w:p>
              </w:tc>
            </w:tr>
            <w:tr>
              <w:trPr>
                <w:trHeight w:val="624" w:hRule="auto"/>
              </w:trPr>
              body18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Pre-Existing</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Hypertension</w:t>
                  </w:r>
                </w:p>
              </w:tc>
              <w:tc>
                <w:tcPr>
                  <w:tcBorders>
                    <w:bottom w:val="none" w:sz="0" w:space="0" w:color="000000"/>
                    <w:top w:val="none" w:sz="0" w:space="0" w:color="000000"/>
                    <w:left w:val="none" w:sz="0" w:space="0" w:color="000000"/>
                    <w:right w:val="single" w:sz="8" w:space="0" w:color="666666"/>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1</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(5.3%)</w:t>
                  </w:r>
                </w:p>
              </w:tc>
              <w:tc>
                <w:tcPr>
                  <w:tcBorders>
                    <w:bottom w:val="none" w:sz="0" w:space="0" w:color="000000"/>
                    <w:top w:val="none" w:sz="0" w:space="0" w:color="000000"/>
                    <w:left w:val="single" w:sz="8" w:space="0" w:color="666666"/>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r>
                </w:p>
              </w:tc>
            </w:tr>
            <w:tr>
              <w:trPr>
                <w:trHeight w:val="624" w:hRule="auto"/>
              </w:trPr>
              body19
              <w:tc>
                <w:tcPr>
                  <w:gridSpan w:val="2"/>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true"/>
                      <w:b w:val="true"/>
                      <w:u w:val="none"/>
                      <w:sz w:val="22"/>
                      <w:szCs w:val="22"/>
                      <w:color w:val="000000"/>
                    </w:rPr>
                    <w:t xml:space="preserve">Systemic</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tru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true"/>
                      <w:b w:val="true"/>
                      <w:u w:val="none"/>
                      <w:sz w:val="22"/>
                      <w:szCs w:val="22"/>
                      <w:color w:val="000000"/>
                    </w:rPr>
                    <w:t xml:space="preserve">Antibiotics</w:t>
                  </w:r>
                </w:p>
              </w:tc>
              <w:tc>
                <w:tcPr>
                  <w:tcBorders>
                    <w:bottom w:val="none" w:sz="0" w:space="0" w:color="000000"/>
                    <w:top w:val="none" w:sz="0" w:space="0" w:color="000000"/>
                    <w:left w:val="single" w:sz="8" w:space="0" w:color="666666"/>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r>
                </w:p>
              </w:tc>
            </w:tr>
            <w:tr>
              <w:trPr>
                <w:trHeight w:val="607" w:hRule="auto"/>
              </w:trPr>
              body20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Yes</w:t>
                  </w:r>
                </w:p>
              </w:tc>
              <w:tc>
                <w:tcPr>
                  <w:tcBorders>
                    <w:bottom w:val="none" w:sz="0" w:space="0" w:color="000000"/>
                    <w:top w:val="none" w:sz="0" w:space="0" w:color="000000"/>
                    <w:left w:val="none" w:sz="0" w:space="0" w:color="000000"/>
                    <w:right w:val="single" w:sz="8" w:space="0" w:color="666666"/>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15</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(78.9%)</w:t>
                  </w:r>
                </w:p>
              </w:tc>
              <w:tc>
                <w:tcPr>
                  <w:tcBorders>
                    <w:bottom w:val="none" w:sz="0" w:space="0" w:color="000000"/>
                    <w:top w:val="none" w:sz="0" w:space="0" w:color="000000"/>
                    <w:left w:val="single" w:sz="8" w:space="0" w:color="666666"/>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r>
                </w:p>
              </w:tc>
            </w:tr>
            <w:tr>
              <w:trPr>
                <w:trHeight w:val="607" w:hRule="auto"/>
              </w:trPr>
              body21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No</w:t>
                  </w:r>
                </w:p>
              </w:tc>
              <w:tc>
                <w:tcPr>
                  <w:tcBorders>
                    <w:bottom w:val="none" w:sz="0" w:space="0" w:color="000000"/>
                    <w:top w:val="none" w:sz="0" w:space="0" w:color="000000"/>
                    <w:left w:val="none" w:sz="0" w:space="0" w:color="000000"/>
                    <w:right w:val="single" w:sz="8" w:space="0" w:color="666666"/>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1</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(5.3%)</w:t>
                  </w:r>
                </w:p>
              </w:tc>
              <w:tc>
                <w:tcPr>
                  <w:tcBorders>
                    <w:bottom w:val="none" w:sz="0" w:space="0" w:color="000000"/>
                    <w:top w:val="none" w:sz="0" w:space="0" w:color="000000"/>
                    <w:left w:val="single" w:sz="8" w:space="0" w:color="666666"/>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r>
                </w:p>
              </w:tc>
            </w:tr>
            <w:tr>
              <w:trPr>
                <w:trHeight w:val="607" w:hRule="auto"/>
              </w:trPr>
              body22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Unknown</w:t>
                  </w:r>
                </w:p>
              </w:tc>
              <w:tc>
                <w:tcPr>
                  <w:tcBorders>
                    <w:bottom w:val="none" w:sz="0" w:space="0" w:color="000000"/>
                    <w:top w:val="none" w:sz="0" w:space="0" w:color="000000"/>
                    <w:left w:val="none" w:sz="0" w:space="0" w:color="000000"/>
                    <w:right w:val="single" w:sz="8" w:space="0" w:color="666666"/>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3</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(15.8%)</w:t>
                  </w:r>
                </w:p>
              </w:tc>
              <w:tc>
                <w:tcPr>
                  <w:tcBorders>
                    <w:bottom w:val="none" w:sz="0" w:space="0" w:color="000000"/>
                    <w:top w:val="none" w:sz="0" w:space="0" w:color="000000"/>
                    <w:left w:val="single" w:sz="8" w:space="0" w:color="666666"/>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r>
                </w:p>
              </w:tc>
            </w:tr>
            <w:tr>
              <w:trPr>
                <w:trHeight w:val="360" w:hRule="auto"/>
              </w:trPr>
              footer 1
              <w:tc>
                <w:tcPr>
                  <w:gridSpan w:val="4"/>
                  <w:tcBorders>
                    <w:bottom w:val="none" w:sz="0" w:space="0" w:color="FFFFFF"/>
                    <w:top w:val="none" w:sz="0" w:space="0" w:color="000000"/>
                    <w:left w:val="none" w:sz="0" w:space="0" w:color="FFFFFF"/>
                    <w:right w:val="none" w:sz="0" w:space="0" w:color="FFFFFF"/>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vertAlign w:val="superscript"/>
                      <w:sz w:val="22"/>
                      <w:szCs w:val="22"/>
                      <w:color w:val="000000"/>
                    </w:rPr>
                    <w:t xml:space="preserve"/>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Median(Q1-Q3) is shown for continuous variables and n (%) for categorical variables. GA = gestational age at birth; PMA = postmenstrual age on the day of the scan.</w:t>
                  </w:r>
                </w:p>
              </w:tc>
            </w:tr>
          </w:tbl>
          <w:bookmarkEnd w:id="24"/>
        </w:tc>
      </w:tr>
    </w:tbl>
    <w:bookmarkEnd w:id="25"/>
    <w:bookmarkStart w:id="26" w:name="mri-data-acquisition"/>
    <w:p>
      <w:pPr>
        <w:pStyle w:val="Heading2"/>
      </w:pPr>
      <w:r>
        <w:t xml:space="preserve">MRI data acquisition</w:t>
      </w:r>
    </w:p>
    <w:p>
      <w:pPr>
        <w:pStyle w:val="FirstParagraph"/>
      </w:pPr>
      <w:r>
        <w:t xml:space="preserve">All scans took place at the</w:t>
      </w:r>
      <w:r>
        <w:t xml:space="preserve"> </w:t>
      </w:r>
      <w:r>
        <w:t xml:space="preserve"> </w:t>
      </w:r>
      <w:r>
        <w:t xml:space="preserve">*** ’s MRI Research Facility and were performed on a 3.0 Tesla General Electric Discovery MR750 (scanner software version DV26.0_R03) with a SREE Medical Systems single channel neonatal head coil. All scans were research-dedicated and not research sequences added on to clinical scans. Infants were fed and swaddled by a research nurse prior to being placed in an MRI compatible incubator for imaging (SREE Medical Systems). Molded foam was placed around the infant’s body and head to minimize head movement and ear plugs were used for ear protection. Arterial oxygen saturation (CSaO</w:t>
      </w:r>
      <w:r>
        <w:rPr>
          <w:vertAlign w:val="subscript"/>
        </w:rPr>
        <w:t xml:space="preserve">2</w:t>
      </w:r>
      <w:r>
        <w:t xml:space="preserve">) and heart rate were monitored and measured continuously throughout the scan using a pulse oximeter placed on the foot of the infant. A neonatologist</w:t>
      </w:r>
      <w:r>
        <w:t xml:space="preserve"> </w:t>
      </w:r>
      <w:r>
        <w:t xml:space="preserve"> </w:t>
      </w:r>
      <w:r>
        <w:t xml:space="preserve">*** and primary investigator</w:t>
      </w:r>
      <w:r>
        <w:t xml:space="preserve"> </w:t>
      </w:r>
      <w:r>
        <w:t xml:space="preserve"> </w:t>
      </w:r>
      <w:r>
        <w:t xml:space="preserve">*** were present throughout the scan.</w:t>
      </w:r>
    </w:p>
    <w:p>
      <w:pPr>
        <w:pStyle w:val="TextBody"/>
      </w:pPr>
      <w:r>
        <w:t xml:space="preserve">MRI scans were performed using a protocol consisting of a T</w:t>
      </w:r>
      <w:r>
        <w:rPr>
          <w:vertAlign w:val="subscript"/>
        </w:rPr>
        <w:t xml:space="preserve">1</w:t>
      </w:r>
      <w:r>
        <w:t xml:space="preserve">-weighted scan, a T</w:t>
      </w:r>
      <w:r>
        <w:rPr>
          <w:vertAlign w:val="subscript"/>
        </w:rPr>
        <w:t xml:space="preserve">2</w:t>
      </w:r>
      <w:r>
        <w:t xml:space="preserve">-weighted scan, a pseudo-continuous ASL scan to measure CBF, an SWI scan to generate QSM maps, and a diffusion weighted imaging spin echo EPI sequence (not included in this report). Sequences were repeated when large motion artifacts were detected. If an infant awoke or was moving during the scan, the scanning was stopped, and a research nurse entered the MRI room to monitor and ensure the infant fell back to sleep.</w:t>
      </w:r>
    </w:p>
    <w:p>
      <w:pPr>
        <w:pStyle w:val="TextBody"/>
      </w:pPr>
      <w:r>
        <w:t xml:space="preserve">The T</w:t>
      </w:r>
      <w:r>
        <w:rPr>
          <w:vertAlign w:val="subscript"/>
        </w:rPr>
        <w:t xml:space="preserve">1</w:t>
      </w:r>
      <w:r>
        <w:t xml:space="preserve">-weighted coronal 3D-FSPGR parameters were: 2.97 ms TE, 7.74 ms TR, 12 degrees flip angle, 20 cm FOV, 512 x 512 matrix, 0.39 x 0.39 mm in-plane resolution, 1 mm slice thickness, 126 slices, and a scan duration of 4 min 39 s.</w:t>
      </w:r>
      <w:r>
        <w:t xml:space="preserve"> </w:t>
      </w:r>
      <w:r>
        <w:t xml:space="preserve">The T</w:t>
      </w:r>
      <w:r>
        <w:rPr>
          <w:vertAlign w:val="subscript"/>
        </w:rPr>
        <w:t xml:space="preserve">2</w:t>
      </w:r>
      <w:r>
        <w:t xml:space="preserve">-weighted sagittal 3D-CUBE parameters were: 66.29 ms TE, 2,300 ms TR, 90 degrees flip angle, 20 cm FOV, 256 x 256 matrix, 0.78 x 0.78 mm in-plane resolution, 1 mm slice thickness, 106 slices, and a scan duration of 5 min 1s.</w:t>
      </w:r>
    </w:p>
    <w:p>
      <w:pPr>
        <w:pStyle w:val="TextBody"/>
      </w:pPr>
      <w:r>
        <w:t xml:space="preserve">The pseudo-continuous ASL axial multi-shot spiral 3D fast spin-echo parameters were: 10.55 ms TE, 4.68 s TR, 111 degrees flip angle, 24 cm FOV, 128 x 128 matrix, 1.875 x 1.875 mm in-plane resolution, 4 mm slice thickness, 25 slices, 1,450 ms label period, 2,025 ms post-labeling delay, 24 control-label pairs, and a scan duration of 5 min 26 s.</w:t>
      </w:r>
    </w:p>
    <w:p>
      <w:pPr>
        <w:pStyle w:val="TextBody"/>
      </w:pPr>
      <w:r>
        <w:t xml:space="preserve">The SWI axial 3D spoiled GRE flow compensated parameters were: five equally spaced echoes, 5 ms first TE, 5.24 ms echo spacing, 30.9 ms TR, 20 degrees flip angle, 25 cm FOV, 256 x 256 matrix, 0.977 mm in-plane resolution, 2 mm slice thickness reconstructed to 1 mm using zero-padded Fourier interpolation (ZIP2), 46 slices, and a scan duration of 5 min 29s.</w:t>
      </w:r>
    </w:p>
    <w:p>
      <w:pPr>
        <w:pStyle w:val="TextBody"/>
      </w:pPr>
      <w:r>
        <w:t xml:space="preserve">A DWI spin-echo EPI sequence was also acquired, but was not analyzed for this study.</w:t>
      </w:r>
    </w:p>
    <w:bookmarkEnd w:id="26"/>
    <w:bookmarkStart w:id="27" w:name="clinical-data-collection"/>
    <w:p>
      <w:pPr>
        <w:pStyle w:val="Heading2"/>
      </w:pPr>
      <w:r>
        <w:t xml:space="preserve">Clinical data collection</w:t>
      </w:r>
    </w:p>
    <w:p>
      <w:pPr>
        <w:pStyle w:val="FirstParagraph"/>
      </w:pPr>
      <w:r>
        <w:t xml:space="preserve">Hct values were acquired retrospectively from chart review. Hct values for the day of scan were predicted using a four-parameter Weibull function (</w:t>
      </w:r>
      <w:r>
        <w:rPr>
          <w:rStyle w:val="VerbatimChar"/>
        </w:rPr>
        <w:t xml:space="preserve">drc</w:t>
      </w:r>
      <w:r>
        <w:t xml:space="preserve">;</w:t>
      </w:r>
      <w:r>
        <w:t xml:space="preserve"> </w:t>
      </w:r>
      <w:r>
        <w:rPr>
          <w:rStyle w:val="VerbatimChar"/>
        </w:rPr>
        <w:t xml:space="preserve">fct=W1.4</w:t>
      </w:r>
      <w:r>
        <w:t xml:space="preserve">; Supplementary Figure 1). Clinical variables were obtained from the</w:t>
      </w:r>
      <w:r>
        <w:t xml:space="preserve"> </w:t>
      </w:r>
      <w:r>
        <w:t xml:space="preserve"> </w:t>
      </w:r>
      <w:r>
        <w:t xml:space="preserve">***. Days on respiratory support were categorized into three groups: Category 1 (invasive ventilation) included high frequency jet ventilation, high frequency oscillatory ventilation, and intermittent positive-pressure ventilation (either volume or pressure targeted); Category 2 (non-invasive ventilation) included non-invasive positive pressure ventilation and continuous positive airway pressure; and Category 3 included high-flow and low-flow nasal cannula. The three categories represented the invasiveness of respiratory support, with Category 1 being the highest, and Category 3 being the lowest.</w:t>
      </w:r>
    </w:p>
    <w:bookmarkEnd w:id="27"/>
    <w:bookmarkStart w:id="35" w:name="mri-data-processing"/>
    <w:p>
      <w:pPr>
        <w:pStyle w:val="Heading2"/>
      </w:pPr>
      <w:r>
        <w:t xml:space="preserve">MRI data processing</w:t>
      </w:r>
    </w:p>
    <w:p>
      <w:pPr>
        <w:pStyle w:val="FirstParagraph"/>
      </w:pPr>
      <w:r>
        <w:t xml:space="preserve">Imaging data was processed using an in-house pipeline written in</w:t>
      </w:r>
      <w:r>
        <w:t xml:space="preserve"> </w:t>
      </w:r>
      <w:r>
        <w:rPr>
          <w:rStyle w:val="VerbatimChar"/>
        </w:rPr>
        <w:t xml:space="preserve">Bash</w:t>
      </w:r>
      <w:r>
        <w:t xml:space="preserve"> </w:t>
      </w:r>
      <w:r>
        <w:t xml:space="preserve">shell script by</w:t>
      </w:r>
      <w:r>
        <w:t xml:space="preserve"> </w:t>
      </w:r>
      <w:r>
        <w:t xml:space="preserve"> </w:t>
      </w:r>
      <w:r>
        <w:t xml:space="preserve">*** with minor edits by</w:t>
      </w:r>
      <w:r>
        <w:t xml:space="preserve"> </w:t>
      </w:r>
      <w:r>
        <w:t xml:space="preserve"> </w:t>
      </w:r>
      <w:r>
        <w:t xml:space="preserve">***. Large portions of the pipeline use the FMRIB Software Library (</w:t>
      </w:r>
      <w:r>
        <w:rPr>
          <w:rStyle w:val="VerbatimChar"/>
        </w:rPr>
        <w:t xml:space="preserve">FSL</w:t>
      </w:r>
      <w:r>
        <w:t xml:space="preserve">; v6.0)</w:t>
      </w:r>
      <w:r>
        <w:rPr>
          <w:vertAlign w:val="superscript"/>
        </w:rPr>
        <w:t xml:space="preserve">30</w:t>
      </w:r>
      <w:r>
        <w:t xml:space="preserve">. A csv file consisting of all the subject IDs, age in weeks, and the folder numbers of the raw imaging data was used as an input to the pipeline. A</w:t>
      </w:r>
      <w:r>
        <w:t xml:space="preserve"> </w:t>
      </w:r>
      <w:r>
        <w:rPr>
          <w:rStyle w:val="VerbatimChar"/>
        </w:rPr>
        <w:t xml:space="preserve">dcm2bids</w:t>
      </w:r>
      <w:r>
        <w:rPr>
          <w:vertAlign w:val="superscript"/>
        </w:rPr>
        <w:t xml:space="preserve">31</w:t>
      </w:r>
      <w:r>
        <w:t xml:space="preserve"> </w:t>
      </w:r>
      <w:r>
        <w:t xml:space="preserve">configuration JSON file was created using information from the input file which assigns the raw imaging DICOM files a data type, modality label, phase encoding direction for spin echo field maps, sidecar file name which corresponds to the chronological order of the scan acquisition, and sidecar changes. The</w:t>
      </w:r>
      <w:r>
        <w:t xml:space="preserve"> </w:t>
      </w:r>
      <w:r>
        <w:rPr>
          <w:rStyle w:val="VerbatimChar"/>
        </w:rPr>
        <w:t xml:space="preserve">dcm2bids</w:t>
      </w:r>
      <w:r>
        <w:t xml:space="preserve"> </w:t>
      </w:r>
      <w:r>
        <w:t xml:space="preserve">tool used Chris Rorden’s</w:t>
      </w:r>
      <w:r>
        <w:t xml:space="preserve"> </w:t>
      </w:r>
      <w:r>
        <w:rPr>
          <w:rStyle w:val="VerbatimChar"/>
        </w:rPr>
        <w:t xml:space="preserve">dcmniix</w:t>
      </w:r>
      <w:r>
        <w:rPr>
          <w:vertAlign w:val="superscript"/>
        </w:rPr>
        <w:t xml:space="preserve">32</w:t>
      </w:r>
      <w:r>
        <w:t xml:space="preserve"> </w:t>
      </w:r>
      <w:r>
        <w:t xml:space="preserve">to convert the raw DICOM files to NIfTI (Neuroimaging Informatics Technology Initiative) format and organized the data according to the Brain Imaging Data Structure (BIDS) standard format</w:t>
      </w:r>
      <w:r>
        <w:rPr>
          <w:vertAlign w:val="superscript"/>
        </w:rPr>
        <w:t xml:space="preserve">33</w:t>
      </w:r>
      <w:r>
        <w:t xml:space="preserve">.</w:t>
      </w:r>
    </w:p>
    <w:p>
      <w:pPr>
        <w:pStyle w:val="TextBody"/>
      </w:pPr>
      <w:r>
        <w:t xml:space="preserve">The T</w:t>
      </w:r>
      <w:r>
        <w:rPr>
          <w:vertAlign w:val="subscript"/>
        </w:rPr>
        <w:t xml:space="preserve">1</w:t>
      </w:r>
      <w:r>
        <w:t xml:space="preserve">w and T</w:t>
      </w:r>
      <w:r>
        <w:rPr>
          <w:vertAlign w:val="subscript"/>
        </w:rPr>
        <w:t xml:space="preserve">2</w:t>
      </w:r>
      <w:r>
        <w:t xml:space="preserve">w files were then processed using the dHCP structural pipeline</w:t>
      </w:r>
      <w:r>
        <w:rPr>
          <w:vertAlign w:val="superscript"/>
        </w:rPr>
        <w:t xml:space="preserve">34</w:t>
      </w:r>
      <w:r>
        <w:t xml:space="preserve">. The dHCP structural pipeline is a specialized neonatal pipeline that automates registration, segmentation, surface extraction, and surface registration of structural MRI images of the neonatal brain. A docker container was set up to run the dHCP structural pipeline using the subject ID, age in weeks, T</w:t>
      </w:r>
      <w:r>
        <w:rPr>
          <w:vertAlign w:val="subscript"/>
        </w:rPr>
        <w:t xml:space="preserve">1</w:t>
      </w:r>
      <w:r>
        <w:t xml:space="preserve">w, and T</w:t>
      </w:r>
      <w:r>
        <w:rPr>
          <w:vertAlign w:val="subscript"/>
        </w:rPr>
        <w:t xml:space="preserve">2</w:t>
      </w:r>
      <w:r>
        <w:t xml:space="preserve">w images. The dHCP pipeline first uses</w:t>
      </w:r>
      <w:r>
        <w:t xml:space="preserve"> </w:t>
      </w:r>
      <w:r>
        <w:rPr>
          <w:rStyle w:val="VerbatimChar"/>
        </w:rPr>
        <w:t xml:space="preserve">FSL</w:t>
      </w:r>
      <w:r>
        <w:t xml:space="preserve">’s</w:t>
      </w:r>
      <w:r>
        <w:t xml:space="preserve"> </w:t>
      </w:r>
      <w:r>
        <w:rPr>
          <w:rStyle w:val="VerbatimChar"/>
        </w:rPr>
        <w:t xml:space="preserve">bet</w:t>
      </w:r>
      <w:r>
        <w:rPr>
          <w:vertAlign w:val="superscript"/>
        </w:rPr>
        <w:t xml:space="preserve">35</w:t>
      </w:r>
      <w:r>
        <w:t xml:space="preserve"> </w:t>
      </w:r>
      <w:r>
        <w:t xml:space="preserve">to perform an initial skull-stripping with a fractional intensity threshold of 0.1. Tissue segmentation is then accomplished using the DRAW-EM algorithm</w:t>
      </w:r>
      <w:r>
        <w:rPr>
          <w:vertAlign w:val="superscript"/>
        </w:rPr>
        <w:t xml:space="preserve">36</w:t>
      </w:r>
      <w:r>
        <w:t xml:space="preserve">, which uses an atlas-based segmentation technique and an Expectation-Maximization scheme that combines the structure priors and an intensity model of the volume.</w:t>
      </w:r>
    </w:p>
    <w:p>
      <w:pPr>
        <w:pStyle w:val="TextBody"/>
      </w:pPr>
      <w:r>
        <w:t xml:space="preserve">Tissue labels were then thresholded and binarized using</w:t>
      </w:r>
      <w:r>
        <w:t xml:space="preserve"> </w:t>
      </w:r>
      <w:r>
        <w:rPr>
          <w:rStyle w:val="VerbatimChar"/>
        </w:rPr>
        <w:t xml:space="preserve">FSL</w:t>
      </w:r>
      <w:r>
        <w:t xml:space="preserve">’s</w:t>
      </w:r>
      <w:r>
        <w:t xml:space="preserve"> </w:t>
      </w:r>
      <w:r>
        <w:rPr>
          <w:rStyle w:val="VerbatimChar"/>
        </w:rPr>
        <w:t xml:space="preserve">fslmaths</w:t>
      </w:r>
      <w:r>
        <w:t xml:space="preserve"> </w:t>
      </w:r>
      <w:r>
        <w:t xml:space="preserve">to create a total of nine masks. These regions included the CSF, cortical grey matter (CGM), WM, background, ventricles, cerebellum, deep GM (DGM), brainstem, and the hippocampus and amygdala as one mask.</w:t>
      </w:r>
    </w:p>
    <w:p>
      <w:pPr>
        <w:pStyle w:val="TextBody"/>
      </w:pPr>
      <w:r>
        <w:t xml:space="preserve">QSM imaging data of all five echoes was then post-processed from the phase data using a script from Christian Kames (</w:t>
      </w:r>
      <w:hyperlink r:id="rId28">
        <w:r>
          <w:rPr>
            <w:rStyle w:val="InternetLink"/>
          </w:rPr>
          <w:t xml:space="preserve">github.com/kamesy/QSM.m</w:t>
        </w:r>
      </w:hyperlink>
      <w:r>
        <w:t xml:space="preserve">)</w:t>
      </w:r>
      <w:r>
        <w:rPr>
          <w:vertAlign w:val="superscript"/>
        </w:rPr>
        <w:t xml:space="preserve">37</w:t>
      </w:r>
      <w:r>
        <w:t xml:space="preserve"> </w:t>
      </w:r>
      <w:r>
        <w:t xml:space="preserve">which follows the recommended implementation of QSM for clinical research in the brain</w:t>
      </w:r>
      <w:r>
        <w:rPr>
          <w:vertAlign w:val="superscript"/>
        </w:rPr>
        <w:t xml:space="preserve">38</w:t>
      </w:r>
      <w:r>
        <w:t xml:space="preserve">. A brain mask from the fifth echo magnitude image was obtained using</w:t>
      </w:r>
      <w:r>
        <w:t xml:space="preserve"> </w:t>
      </w:r>
      <w:r>
        <w:rPr>
          <w:rStyle w:val="VerbatimChar"/>
        </w:rPr>
        <w:t xml:space="preserve">FSL</w:t>
      </w:r>
      <w:r>
        <w:t xml:space="preserve">’s</w:t>
      </w:r>
      <w:r>
        <w:t xml:space="preserve"> </w:t>
      </w:r>
      <w:r>
        <w:rPr>
          <w:rStyle w:val="VerbatimChar"/>
        </w:rPr>
        <w:t xml:space="preserve">bet</w:t>
      </w:r>
      <w:r>
        <w:t xml:space="preserve">. Improved brain masks were obtained from the square of the magnitude image (</w:t>
      </w:r>
      <w:r>
        <w:rPr>
          <w:rStyle w:val="VerbatimChar"/>
        </w:rPr>
        <w:t xml:space="preserve">fslmaths -sqr</w:t>
      </w:r>
      <w:r>
        <w:t xml:space="preserve">). A two-voxel kernel was used to erode the brain mask. Phase unwrapping was achieved using a 3D Laplacian algorithm and background field removal was completed by fitting a fourth order 3D polynomial to the unfiltered phase data. A Gaussian filter (</w:t>
      </w:r>
      <m:oMath>
        <m:r>
          <m:t>σ</m:t>
        </m:r>
      </m:oMath>
      <w:r>
        <w:t xml:space="preserve"> </w:t>
      </w:r>
      <w:r>
        <w:t xml:space="preserve">= 0.5) was applied to the normalized field maps to smooth out high frequency errors from reconstruction. A two-step dipole inversion algorithm was used to solve the dipole inversion problem</w:t>
      </w:r>
      <w:r>
        <w:rPr>
          <w:vertAlign w:val="superscript"/>
        </w:rPr>
        <w:t xml:space="preserve">39</w:t>
      </w:r>
      <w:r>
        <w:t xml:space="preserve">.</w:t>
      </w:r>
      <w:r>
        <w:t xml:space="preserve"> </w:t>
      </w:r>
      <w:r>
        <w:rPr>
          <w:rStyle w:val="VerbatimChar"/>
        </w:rPr>
        <w:t xml:space="preserve">Fslroi</w:t>
      </w:r>
      <w:r>
        <w:t xml:space="preserve"> </w:t>
      </w:r>
      <w:r>
        <w:t xml:space="preserve">and</w:t>
      </w:r>
      <w:r>
        <w:t xml:space="preserve"> </w:t>
      </w:r>
      <w:r>
        <w:rPr>
          <w:rStyle w:val="VerbatimChar"/>
        </w:rPr>
        <w:t xml:space="preserve">fslmaths</w:t>
      </w:r>
      <w:r>
        <w:t xml:space="preserve"> </w:t>
      </w:r>
      <w:r>
        <w:t xml:space="preserve">were then used to retrieve the average of the last three echoes. R</w:t>
      </w:r>
      <w:r>
        <w:rPr>
          <w:vertAlign w:val="subscript"/>
        </w:rPr>
        <w:t xml:space="preserve">2</w:t>
      </w:r>
      <w:r>
        <w:rPr>
          <w:vertAlign w:val="superscript"/>
        </w:rPr>
        <w:t xml:space="preserve">*</w:t>
      </w:r>
      <w:r>
        <w:t xml:space="preserve"> </w:t>
      </w:r>
      <w:r>
        <w:t xml:space="preserve">maps were calculated by performing a linear fit of the logarithm of the magnitude values against the TEs. Finally, vascular masks were created using Sina Straub’s</w:t>
      </w:r>
      <w:r>
        <w:t xml:space="preserve"> </w:t>
      </w:r>
      <w:r>
        <w:rPr>
          <w:rStyle w:val="VerbatimChar"/>
        </w:rPr>
        <w:t xml:space="preserve">GRE_vessel_seg</w:t>
      </w:r>
      <w:r>
        <w:t xml:space="preserve"> </w:t>
      </w:r>
      <w:r>
        <w:t xml:space="preserve">(</w:t>
      </w:r>
      <w:hyperlink r:id="rId29">
        <w:r>
          <w:rPr>
            <w:rStyle w:val="InternetLink"/>
          </w:rPr>
          <w:t xml:space="preserve">github.com/SinaStraub/GRE_vessel_seg</w:t>
        </w:r>
      </w:hyperlink>
      <w:r>
        <w:t xml:space="preserve">)</w:t>
      </w:r>
      <w:r>
        <w:rPr>
          <w:vertAlign w:val="superscript"/>
        </w:rPr>
        <w:t xml:space="preserve">40</w:t>
      </w:r>
      <w:r>
        <w:t xml:space="preserve"> </w:t>
      </w:r>
      <w:r>
        <w:t xml:space="preserve">with elements borrowed from Warda-Taqdees Syeda’s</w:t>
      </w:r>
      <w:r>
        <w:t xml:space="preserve"> </w:t>
      </w:r>
      <w:r>
        <w:rPr>
          <w:rStyle w:val="VerbatimChar"/>
        </w:rPr>
        <w:t xml:space="preserve">QSMART</w:t>
      </w:r>
      <w:r>
        <w:t xml:space="preserve"> </w:t>
      </w:r>
      <w:r>
        <w:t xml:space="preserve">(</w:t>
      </w:r>
      <w:hyperlink r:id="rId30">
        <w:r>
          <w:rPr>
            <w:rStyle w:val="InternetLink"/>
          </w:rPr>
          <w:t xml:space="preserve">textgithub.com/wtsyeda/QSMART</w:t>
        </w:r>
      </w:hyperlink>
      <w:r>
        <w:t xml:space="preserve">)</w:t>
      </w:r>
      <w:r>
        <w:rPr>
          <w:vertAlign w:val="superscript"/>
        </w:rPr>
        <w:t xml:space="preserve">41–44</w:t>
      </w:r>
      <w:r>
        <w:t xml:space="preserve">; both of which make use of Chunlei Liu’s</w:t>
      </w:r>
      <w:r>
        <w:t xml:space="preserve"> </w:t>
      </w:r>
      <w:r>
        <w:rPr>
          <w:rStyle w:val="VerbatimChar"/>
        </w:rPr>
        <w:t xml:space="preserve">STI Suite</w:t>
      </w:r>
      <w:r>
        <w:rPr>
          <w:vertAlign w:val="superscript"/>
        </w:rPr>
        <w:t xml:space="preserve">45</w:t>
      </w:r>
      <w:r>
        <w:t xml:space="preserve">. Default parameter settings were used including a recursive ridge filter and a scale number (kernel size) equal to 4</w:t>
      </w:r>
      <w:r>
        <w:rPr>
          <w:vertAlign w:val="superscript"/>
        </w:rPr>
        <w:t xml:space="preserve">46</w:t>
      </w:r>
      <w:r>
        <w:t xml:space="preserve">. The</w:t>
      </w:r>
      <w:r>
        <w:t xml:space="preserve"> </w:t>
      </w:r>
      <m:oMath>
        <m:r>
          <m:t>χ</m:t>
        </m:r>
      </m:oMath>
      <w:r>
        <w:t xml:space="preserve"> </w:t>
      </w:r>
      <w:r>
        <w:t xml:space="preserve">of cerebral veins was then measured by thresholding out values below 0.15 parts per million (ppm)</w:t>
      </w:r>
      <w:r>
        <w:rPr>
          <w:vertAlign w:val="superscript"/>
        </w:rPr>
        <w:t xml:space="preserve">47,48</w:t>
      </w:r>
      <w:r>
        <w:t xml:space="preserve"> </w:t>
      </w:r>
      <w:r>
        <w:t xml:space="preserve">and averaged within the vascular mask to find the mean of non-zero voxels. CSvO</w:t>
      </w:r>
      <m:oMath>
        <m:sSub>
          <m:e>
            <m:r>
              <m:t>​</m:t>
            </m:r>
          </m:e>
          <m:sub>
            <m:r>
              <m:t>2</m:t>
            </m:r>
          </m:sub>
        </m:sSub>
      </m:oMath>
      <w:r>
        <w:t xml:space="preserve"> </w:t>
      </w:r>
      <w:r>
        <w:t xml:space="preserve">can then be calculated using the averaged</w:t>
      </w:r>
      <w:r>
        <w:t xml:space="preserve"> </w:t>
      </w:r>
      <m:oMath>
        <m:r>
          <m:t>χ</m:t>
        </m:r>
      </m:oMath>
      <w:r>
        <w:t xml:space="preserve"> </w:t>
      </w:r>
      <w:r>
        <w:t xml:space="preserve">value and the following equation</w:t>
      </w:r>
      <w:r>
        <w:rPr>
          <w:vertAlign w:val="superscript"/>
        </w:rPr>
        <w:t xml:space="preserve">49</w:t>
      </w:r>
      <w:r>
        <w:t xml:space="preserve">:</w:t>
      </w:r>
    </w:p>
    <w:p>
      <w:pPr>
        <w:pStyle w:val="TextBody"/>
      </w:pPr>
      <w:bookmarkStart w:id="31" w:name="eq-csvo2"/>
      <m:oMathPara>
        <m:oMathParaPr>
          <m:jc m:val="center"/>
        </m:oMathParaPr>
        <m:oMath>
          <m:r>
            <m:t>C</m:t>
          </m:r>
          <m:r>
            <m:t>S</m:t>
          </m:r>
          <m:r>
            <m:t>v</m:t>
          </m:r>
          <m:sSub>
            <m:e>
              <m:r>
                <m:t>O</m:t>
              </m:r>
            </m:e>
            <m:sub>
              <m:r>
                <m:t>2</m:t>
              </m:r>
            </m:sub>
          </m:sSub>
          <m:r>
            <m:rPr>
              <m:sty m:val="p"/>
            </m:rPr>
            <m:t>=</m:t>
          </m:r>
          <m:r>
            <m:t>1</m:t>
          </m:r>
          <m:r>
            <m:rPr>
              <m:sty m:val="p"/>
            </m:rPr>
            <m:t>−</m:t>
          </m:r>
          <m:f>
            <m:fPr>
              <m:type m:val="bar"/>
            </m:fPr>
            <m:num>
              <m:d>
                <m:dPr>
                  <m:begChr m:val="("/>
                  <m:sepChr m:val=""/>
                  <m:endChr m:val=")"/>
                  <m:grow/>
                </m:dPr>
                <m:e>
                  <m:r>
                    <m:t>Δ</m:t>
                  </m:r>
                  <m:sSub>
                    <m:e>
                      <m:r>
                        <m:t>χ</m:t>
                      </m:r>
                    </m:e>
                    <m:sub>
                      <m:r>
                        <m:t>b</m:t>
                      </m:r>
                      <m:r>
                        <m:t>l</m:t>
                      </m:r>
                      <m:r>
                        <m:t>o</m:t>
                      </m:r>
                      <m:r>
                        <m:t>o</m:t>
                      </m:r>
                      <m:r>
                        <m:t>d</m:t>
                      </m:r>
                    </m:sub>
                  </m:sSub>
                  <m:r>
                    <m:rPr>
                      <m:sty m:val="p"/>
                    </m:rPr>
                    <m:t>−</m:t>
                  </m:r>
                  <m:r>
                    <m:t>Δ</m:t>
                  </m:r>
                  <m:sSub>
                    <m:e>
                      <m:r>
                        <m:t>χ</m:t>
                      </m:r>
                    </m:e>
                    <m:sub>
                      <m:r>
                        <m:t>o</m:t>
                      </m:r>
                      <m:r>
                        <m:t>x</m:t>
                      </m:r>
                      <m:r>
                        <m:t>y</m:t>
                      </m:r>
                    </m:sub>
                  </m:sSub>
                  <m:r>
                    <m:rPr>
                      <m:sty m:val="p"/>
                    </m:rPr>
                    <m:t>⋅</m:t>
                  </m:r>
                  <m:r>
                    <m:t>H</m:t>
                  </m:r>
                  <m:r>
                    <m:t>c</m:t>
                  </m:r>
                  <m:r>
                    <m:t>t</m:t>
                  </m:r>
                </m:e>
              </m:d>
            </m:num>
            <m:den>
              <m:d>
                <m:dPr>
                  <m:begChr m:val="("/>
                  <m:sepChr m:val=""/>
                  <m:endChr m:val=")"/>
                  <m:grow/>
                </m:dPr>
                <m:e>
                  <m:r>
                    <m:t>Δ</m:t>
                  </m:r>
                  <m:sSub>
                    <m:e>
                      <m:r>
                        <m:t>χ</m:t>
                      </m:r>
                    </m:e>
                    <m:sub>
                      <m:r>
                        <m:t>d</m:t>
                      </m:r>
                      <m:r>
                        <m:t>o</m:t>
                      </m:r>
                    </m:sub>
                  </m:sSub>
                  <m:r>
                    <m:rPr>
                      <m:sty m:val="p"/>
                    </m:rPr>
                    <m:t>⋅</m:t>
                  </m:r>
                  <m:r>
                    <m:t>H</m:t>
                  </m:r>
                  <m:r>
                    <m:t>c</m:t>
                  </m:r>
                  <m:r>
                    <m:t>t</m:t>
                  </m:r>
                </m:e>
              </m:d>
            </m:den>
          </m:f>
          <m:r>
            <m:t>  </m:t>
          </m:r>
          <m:d>
            <m:dPr>
              <m:begChr m:val="("/>
              <m:sepChr m:val=""/>
              <m:endChr m:val=")"/>
              <m:grow/>
            </m:dPr>
            <m:e>
              <m:r>
                <m:t>1</m:t>
              </m:r>
            </m:e>
          </m:d>
        </m:oMath>
      </m:oMathPara>
      <w:bookmarkEnd w:id="31"/>
    </w:p>
    <w:p>
      <w:pPr>
        <w:pStyle w:val="FirstParagraph"/>
      </w:pPr>
      <w:r>
        <w:t xml:space="preserve">where CSvO</w:t>
      </w:r>
      <w:r>
        <w:rPr>
          <w:vertAlign w:val="subscript"/>
        </w:rPr>
        <w:t xml:space="preserve">2</w:t>
      </w:r>
      <w:r>
        <w:t xml:space="preserve"> </w:t>
      </w:r>
      <w:r>
        <w:t xml:space="preserve">is the cerebral venous oxygen saturation,</w:t>
      </w:r>
      <w:r>
        <w:t xml:space="preserve"> </w:t>
      </w:r>
      <m:oMath>
        <m:r>
          <m:t>Δ</m:t>
        </m:r>
        <m:sSub>
          <m:e>
            <m:r>
              <m:t>χ</m:t>
            </m:r>
          </m:e>
          <m:sub>
            <m:r>
              <m:t>b</m:t>
            </m:r>
            <m:r>
              <m:t>l</m:t>
            </m:r>
            <m:r>
              <m:t>o</m:t>
            </m:r>
            <m:r>
              <m:t>o</m:t>
            </m:r>
            <m:r>
              <m:t>d</m:t>
            </m:r>
          </m:sub>
        </m:sSub>
      </m:oMath>
      <w:r>
        <w:t xml:space="preserve"> </w:t>
      </w:r>
      <w:r>
        <w:t xml:space="preserve">is the measured susceptibility difference between blood and water,</w:t>
      </w:r>
      <w:r>
        <w:t xml:space="preserve"> </w:t>
      </w:r>
      <m:oMath>
        <m:r>
          <m:t>Δ</m:t>
        </m:r>
        <m:sSub>
          <m:e>
            <m:r>
              <m:t>χ</m:t>
            </m:r>
          </m:e>
          <m:sub>
            <m:r>
              <m:t>o</m:t>
            </m:r>
            <m:r>
              <m:t>x</m:t>
            </m:r>
            <m:r>
              <m:t>y</m:t>
            </m:r>
          </m:sub>
        </m:sSub>
      </m:oMath>
      <w:r>
        <w:t xml:space="preserve"> </w:t>
      </w:r>
      <w:r>
        <w:t xml:space="preserve">is the susceptibility changes of oxygenated red blood cells relative to water,</w:t>
      </w:r>
      <w:r>
        <w:t xml:space="preserve"> </w:t>
      </w:r>
      <m:oMath>
        <m:r>
          <m:t>Δ</m:t>
        </m:r>
        <m:sSub>
          <m:e>
            <m:r>
              <m:t>χ</m:t>
            </m:r>
          </m:e>
          <m:sub>
            <m:r>
              <m:t>d</m:t>
            </m:r>
            <m:r>
              <m:t>o</m:t>
            </m:r>
          </m:sub>
        </m:sSub>
      </m:oMath>
      <w:r>
        <w:t xml:space="preserve"> </w:t>
      </w:r>
      <w:r>
        <w:t xml:space="preserve">is the susceptibility difference between oxygenated and deoxygenated red blood cells, and Hct is the hematocrit value.</w:t>
      </w:r>
      <w:r>
        <w:t xml:space="preserve"> </w:t>
      </w:r>
      <m:oMath>
        <m:r>
          <m:t>Δ</m:t>
        </m:r>
        <m:sSub>
          <m:e>
            <m:r>
              <m:t>χ</m:t>
            </m:r>
          </m:e>
          <m:sub>
            <m:r>
              <m:t>b</m:t>
            </m:r>
            <m:r>
              <m:t>l</m:t>
            </m:r>
            <m:r>
              <m:t>o</m:t>
            </m:r>
            <m:r>
              <m:t>o</m:t>
            </m:r>
            <m:r>
              <m:t>d</m:t>
            </m:r>
          </m:sub>
        </m:sSub>
      </m:oMath>
      <w:r>
        <w:t xml:space="preserve"> </w:t>
      </w:r>
      <w:r>
        <w:t xml:space="preserve">was the averaged</w:t>
      </w:r>
      <w:r>
        <w:t xml:space="preserve"> </w:t>
      </w:r>
      <m:oMath>
        <m:r>
          <m:t>χ</m:t>
        </m:r>
      </m:oMath>
      <w:r>
        <w:t xml:space="preserve"> </w:t>
      </w:r>
      <w:r>
        <w:t xml:space="preserve">of cerebral veins minus the average</w:t>
      </w:r>
      <w:r>
        <w:t xml:space="preserve"> </w:t>
      </w:r>
      <m:oMath>
        <m:r>
          <m:t>χ</m:t>
        </m:r>
      </m:oMath>
      <w:r>
        <w:t xml:space="preserve"> </w:t>
      </w:r>
      <w:r>
        <w:t xml:space="preserve">of CSF;</w:t>
      </w:r>
      <w:r>
        <w:t xml:space="preserve"> </w:t>
      </w:r>
      <m:oMath>
        <m:r>
          <m:t>Δ</m:t>
        </m:r>
        <m:sSub>
          <m:e>
            <m:r>
              <m:t>χ</m:t>
            </m:r>
          </m:e>
          <m:sub>
            <m:r>
              <m:t>o</m:t>
            </m:r>
            <m:r>
              <m:t>x</m:t>
            </m:r>
            <m:r>
              <m:t>y</m:t>
            </m:r>
          </m:sub>
        </m:sSub>
      </m:oMath>
      <w:r>
        <w:t xml:space="preserve"> </w:t>
      </w:r>
      <w:r>
        <w:t xml:space="preserve">was -0.21 * 4 ppm as per Sedlacik et al (2007)</w:t>
      </w:r>
      <w:r>
        <w:rPr>
          <w:vertAlign w:val="superscript"/>
        </w:rPr>
        <w:t xml:space="preserve">50</w:t>
      </w:r>
      <w:r>
        <w:t xml:space="preserve"> </w:t>
      </w:r>
      <w:r>
        <w:t xml:space="preserve">and Portnoy et al (2018)</w:t>
      </w:r>
      <w:r>
        <w:rPr>
          <w:vertAlign w:val="superscript"/>
        </w:rPr>
        <w:t xml:space="preserve">51</w:t>
      </w:r>
      <w:r>
        <w:t xml:space="preserve">;</w:t>
      </w:r>
      <w:r>
        <w:t xml:space="preserve"> </w:t>
      </w:r>
      <m:oMath>
        <m:r>
          <m:t>Δ</m:t>
        </m:r>
        <m:sSub>
          <m:e>
            <m:r>
              <m:t>χ</m:t>
            </m:r>
          </m:e>
          <m:sub>
            <m:r>
              <m:t>d</m:t>
            </m:r>
            <m:r>
              <m:t>o</m:t>
            </m:r>
          </m:sub>
        </m:sSub>
      </m:oMath>
      <w:r>
        <w:t xml:space="preserve"> </w:t>
      </w:r>
      <w:r>
        <w:t xml:space="preserve">was -0.03 * 4 ppm as per Weisskoff and Kiihne (1992)</w:t>
      </w:r>
      <w:r>
        <w:rPr>
          <w:vertAlign w:val="superscript"/>
        </w:rPr>
        <w:t xml:space="preserve">49</w:t>
      </w:r>
      <w:r>
        <w:t xml:space="preserve">; and Hct was predicted based on previous measured values for the day of the scan.</w:t>
      </w:r>
    </w:p>
    <w:p>
      <w:pPr>
        <w:pStyle w:val="TextBody"/>
      </w:pPr>
      <w:r>
        <w:t xml:space="preserve">Oxygen extraction fraction (OEF) was calculated as:</w:t>
      </w:r>
    </w:p>
    <w:p>
      <w:pPr>
        <w:pStyle w:val="TextBody"/>
      </w:pPr>
      <w:bookmarkStart w:id="32" w:name="eq-oef"/>
      <m:oMathPara>
        <m:oMathParaPr>
          <m:jc m:val="center"/>
        </m:oMathParaPr>
        <m:oMath>
          <m:r>
            <m:t>O</m:t>
          </m:r>
          <m:r>
            <m:t>E</m:t>
          </m:r>
          <m:r>
            <m:t>F</m:t>
          </m:r>
          <m:r>
            <m:rPr>
              <m:sty m:val="p"/>
            </m:rPr>
            <m:t>=</m:t>
          </m:r>
          <m:d>
            <m:dPr>
              <m:begChr m:val="("/>
              <m:sepChr m:val=""/>
              <m:endChr m:val=")"/>
              <m:grow/>
            </m:dPr>
            <m:e>
              <m:r>
                <m:t>C</m:t>
              </m:r>
              <m:r>
                <m:t>S</m:t>
              </m:r>
              <m:r>
                <m:t>a</m:t>
              </m:r>
              <m:sSub>
                <m:e>
                  <m:r>
                    <m:t>O</m:t>
                  </m:r>
                </m:e>
                <m:sub>
                  <m:r>
                    <m:t>2</m:t>
                  </m:r>
                </m:sub>
              </m:sSub>
              <m:r>
                <m:rPr>
                  <m:sty m:val="p"/>
                </m:rPr>
                <m:t>−</m:t>
              </m:r>
              <m:r>
                <m:t>C</m:t>
              </m:r>
              <m:r>
                <m:t>S</m:t>
              </m:r>
              <m:r>
                <m:t>v</m:t>
              </m:r>
              <m:sSub>
                <m:e>
                  <m:r>
                    <m:t>O</m:t>
                  </m:r>
                </m:e>
                <m:sub>
                  <m:r>
                    <m:t>2</m:t>
                  </m:r>
                </m:sub>
              </m:sSub>
            </m:e>
          </m:d>
          <m:r>
            <m:rPr>
              <m:sty m:val="p"/>
            </m:rPr>
            <m:t>/</m:t>
          </m:r>
          <m:r>
            <m:t>C</m:t>
          </m:r>
          <m:r>
            <m:t>S</m:t>
          </m:r>
          <m:r>
            <m:t>a</m:t>
          </m:r>
          <m:sSub>
            <m:e>
              <m:r>
                <m:t>O</m:t>
              </m:r>
            </m:e>
            <m:sub>
              <m:r>
                <m:t>2</m:t>
              </m:r>
            </m:sub>
          </m:sSub>
          <m:r>
            <m:t>  </m:t>
          </m:r>
          <m:d>
            <m:dPr>
              <m:begChr m:val="("/>
              <m:sepChr m:val=""/>
              <m:endChr m:val=")"/>
              <m:grow/>
            </m:dPr>
            <m:e>
              <m:r>
                <m:t>2</m:t>
              </m:r>
            </m:e>
          </m:d>
        </m:oMath>
      </m:oMathPara>
      <w:bookmarkEnd w:id="32"/>
    </w:p>
    <w:p>
      <w:pPr>
        <w:pStyle w:val="FirstParagraph"/>
      </w:pPr>
      <w:r>
        <w:t xml:space="preserve">where CSaO</w:t>
      </w:r>
      <w:r>
        <w:rPr>
          <w:vertAlign w:val="subscript"/>
        </w:rPr>
        <w:t xml:space="preserve">2</w:t>
      </w:r>
      <w:r>
        <w:t xml:space="preserve"> </w:t>
      </w:r>
      <w:r>
        <w:t xml:space="preserve">was calculated from the pulse oximeter during the MRI scan and CSvO</w:t>
      </w:r>
      <w:r>
        <w:rPr>
          <w:vertAlign w:val="subscript"/>
        </w:rPr>
        <w:t xml:space="preserve">2</w:t>
      </w:r>
      <w:r>
        <w:t xml:space="preserve"> </w:t>
      </w:r>
      <w:r>
        <w:t xml:space="preserve">was calculated from</w:t>
      </w:r>
      <w:r>
        <w:t xml:space="preserve"> </w:t>
      </w:r>
      <w:hyperlink w:anchor="eq-csvo2">
        <w:r>
          <w:rPr>
            <w:rStyle w:val="InternetLink"/>
          </w:rPr>
          <w:t xml:space="preserve">Equation 1</w:t>
        </w:r>
      </w:hyperlink>
      <w:r>
        <w:t xml:space="preserve">.</w:t>
      </w:r>
    </w:p>
    <w:p>
      <w:pPr>
        <w:pStyle w:val="TextBody"/>
      </w:pPr>
      <w:r>
        <w:t xml:space="preserve">ASL imaging data was then post-processed in the pipeline using an in-house python script to generate a CBF map ***</w:t>
      </w:r>
      <w:r>
        <w:t xml:space="preserve"> </w:t>
      </w:r>
      <w:r>
        <w:t xml:space="preserve">. The imaging data consisted of two images, a PWI which is the difference between the control and labeled images, and a proton density image which is used for scaling signal intensities. The python script uses the PWI and proton density images along with other neonatal specific parameters derived from the literature and the MRI acquisition parameters as inputs and generates a CBF map with the following quantification model:</w:t>
      </w:r>
    </w:p>
    <w:p>
      <w:pPr>
        <w:pStyle w:val="TextBody"/>
      </w:pPr>
      <w:bookmarkStart w:id="33" w:name="eq-cbf"/>
      <m:oMathPara>
        <m:oMathParaPr>
          <m:jc m:val="center"/>
        </m:oMathParaPr>
        <m:oMath>
          <m:r>
            <m:t>C</m:t>
          </m:r>
          <m:r>
            <m:t>B</m:t>
          </m:r>
          <m:r>
            <m:t>F</m:t>
          </m:r>
          <m:r>
            <m:rPr>
              <m:sty m:val="p"/>
            </m:rPr>
            <m:t>=</m:t>
          </m:r>
          <m:r>
            <m:t>6000</m:t>
          </m:r>
          <m:r>
            <m:rPr>
              <m:sty m:val="p"/>
            </m:rPr>
            <m:t>⋅</m:t>
          </m:r>
          <m:r>
            <m:t>λ</m:t>
          </m:r>
          <m:f>
            <m:fPr>
              <m:type m:val="bar"/>
            </m:fPr>
            <m:num>
              <m:d>
                <m:dPr>
                  <m:begChr m:val="("/>
                  <m:sepChr m:val=""/>
                  <m:endChr m:val=")"/>
                  <m:grow/>
                </m:dPr>
                <m:e>
                  <m:r>
                    <m:t>1</m:t>
                  </m:r>
                  <m:r>
                    <m:rPr>
                      <m:sty m:val="p"/>
                    </m:rPr>
                    <m:t>−</m:t>
                  </m:r>
                  <m:r>
                    <m:rPr>
                      <m:sty m:val="p"/>
                    </m:rPr>
                    <m:t>exp</m:t>
                  </m:r>
                  <m:d>
                    <m:dPr>
                      <m:begChr m:val="("/>
                      <m:sepChr m:val=""/>
                      <m:endChr m:val=")"/>
                      <m:grow/>
                    </m:dPr>
                    <m:e>
                      <m:r>
                        <m:rPr>
                          <m:sty m:val="p"/>
                        </m:rPr>
                        <m:t>−</m:t>
                      </m:r>
                      <m:f>
                        <m:fPr>
                          <m:type m:val="bar"/>
                        </m:fPr>
                        <m:num>
                          <m:r>
                            <m:t>S</m:t>
                          </m:r>
                          <m:r>
                            <m:t>T</m:t>
                          </m:r>
                          <m:d>
                            <m:dPr>
                              <m:begChr m:val="("/>
                              <m:sepChr m:val=""/>
                              <m:endChr m:val=")"/>
                              <m:grow/>
                            </m:dPr>
                            <m:e>
                              <m:r>
                                <m:t>s</m:t>
                              </m:r>
                            </m:e>
                          </m:d>
                        </m:num>
                        <m:den>
                          <m:sSub>
                            <m:e>
                              <m:r>
                                <m:t>T</m:t>
                              </m:r>
                            </m:e>
                            <m:sub>
                              <m:r>
                                <m:t>1</m:t>
                              </m:r>
                              <m:r>
                                <m:t>t</m:t>
                              </m:r>
                            </m:sub>
                          </m:sSub>
                          <m:d>
                            <m:dPr>
                              <m:begChr m:val="("/>
                              <m:sepChr m:val=""/>
                              <m:endChr m:val=")"/>
                              <m:grow/>
                            </m:dPr>
                            <m:e>
                              <m:r>
                                <m:t>s</m:t>
                              </m:r>
                            </m:e>
                          </m:d>
                        </m:den>
                      </m:f>
                    </m:e>
                  </m:d>
                </m:e>
              </m:d>
              <m:r>
                <m:rPr>
                  <m:sty m:val="p"/>
                </m:rPr>
                <m:t>exp</m:t>
              </m:r>
              <m:d>
                <m:dPr>
                  <m:begChr m:val="("/>
                  <m:sepChr m:val=""/>
                  <m:endChr m:val=")"/>
                  <m:grow/>
                </m:dPr>
                <m:e>
                  <m:f>
                    <m:fPr>
                      <m:type m:val="bar"/>
                    </m:fPr>
                    <m:num>
                      <m:r>
                        <m:t>P</m:t>
                      </m:r>
                      <m:r>
                        <m:t>L</m:t>
                      </m:r>
                      <m:r>
                        <m:t>D</m:t>
                      </m:r>
                      <m:d>
                        <m:dPr>
                          <m:begChr m:val="("/>
                          <m:sepChr m:val=""/>
                          <m:endChr m:val=")"/>
                          <m:grow/>
                        </m:dPr>
                        <m:e>
                          <m:r>
                            <m:t>s</m:t>
                          </m:r>
                        </m:e>
                      </m:d>
                    </m:num>
                    <m:den>
                      <m:sSub>
                        <m:e>
                          <m:r>
                            <m:t>T</m:t>
                          </m:r>
                        </m:e>
                        <m:sub>
                          <m:r>
                            <m:t>1</m:t>
                          </m:r>
                          <m:r>
                            <m:t>b</m:t>
                          </m:r>
                        </m:sub>
                      </m:sSub>
                      <m:d>
                        <m:dPr>
                          <m:begChr m:val="("/>
                          <m:sepChr m:val=""/>
                          <m:endChr m:val=")"/>
                          <m:grow/>
                        </m:dPr>
                        <m:e>
                          <m:r>
                            <m:t>s</m:t>
                          </m:r>
                        </m:e>
                      </m:d>
                    </m:den>
                  </m:f>
                </m:e>
              </m:d>
            </m:num>
            <m:den>
              <m:r>
                <m:t>2</m:t>
              </m:r>
              <m:r>
                <m:rPr>
                  <m:sty m:val="p"/>
                </m:rPr>
                <m:t>⋅</m:t>
              </m:r>
              <m:sSub>
                <m:e>
                  <m:r>
                    <m:t>T</m:t>
                  </m:r>
                </m:e>
                <m:sub>
                  <m:r>
                    <m:t>1</m:t>
                  </m:r>
                  <m:r>
                    <m:t>b</m:t>
                  </m:r>
                </m:sub>
              </m:sSub>
              <m:d>
                <m:dPr>
                  <m:begChr m:val="("/>
                  <m:sepChr m:val=""/>
                  <m:endChr m:val=")"/>
                  <m:grow/>
                </m:dPr>
                <m:e>
                  <m:r>
                    <m:t>s</m:t>
                  </m:r>
                </m:e>
              </m:d>
              <m:r>
                <m:rPr>
                  <m:sty m:val="p"/>
                </m:rPr>
                <m:t>⋅</m:t>
              </m:r>
              <m:d>
                <m:dPr>
                  <m:begChr m:val="("/>
                  <m:sepChr m:val=""/>
                  <m:endChr m:val=")"/>
                  <m:grow/>
                </m:dPr>
                <m:e>
                  <m:r>
                    <m:t>1</m:t>
                  </m:r>
                  <m:r>
                    <m:rPr>
                      <m:sty m:val="p"/>
                    </m:rPr>
                    <m:t>−</m:t>
                  </m:r>
                  <m:r>
                    <m:rPr>
                      <m:sty m:val="p"/>
                    </m:rPr>
                    <m:t>exp</m:t>
                  </m:r>
                  <m:d>
                    <m:dPr>
                      <m:begChr m:val="("/>
                      <m:sepChr m:val=""/>
                      <m:endChr m:val=")"/>
                      <m:grow/>
                    </m:dPr>
                    <m:e>
                      <m:r>
                        <m:rPr>
                          <m:sty m:val="p"/>
                        </m:rPr>
                        <m:t>−</m:t>
                      </m:r>
                      <m:f>
                        <m:fPr>
                          <m:type m:val="bar"/>
                        </m:fPr>
                        <m:num>
                          <m:r>
                            <m:t>L</m:t>
                          </m:r>
                          <m:r>
                            <m:t>T</m:t>
                          </m:r>
                          <m:d>
                            <m:dPr>
                              <m:begChr m:val="("/>
                              <m:sepChr m:val=""/>
                              <m:endChr m:val=")"/>
                              <m:grow/>
                            </m:dPr>
                            <m:e>
                              <m:r>
                                <m:t>s</m:t>
                              </m:r>
                            </m:e>
                          </m:d>
                        </m:num>
                        <m:den>
                          <m:sSub>
                            <m:e>
                              <m:r>
                                <m:t>T</m:t>
                              </m:r>
                            </m:e>
                            <m:sub>
                              <m:r>
                                <m:t>1</m:t>
                              </m:r>
                              <m:r>
                                <m:t>b</m:t>
                              </m:r>
                            </m:sub>
                          </m:sSub>
                          <m:d>
                            <m:dPr>
                              <m:begChr m:val="("/>
                              <m:sepChr m:val=""/>
                              <m:endChr m:val=")"/>
                              <m:grow/>
                            </m:dPr>
                            <m:e>
                              <m:r>
                                <m:t>s</m:t>
                              </m:r>
                            </m:e>
                          </m:d>
                        </m:den>
                      </m:f>
                    </m:e>
                  </m:d>
                </m:e>
              </m:d>
              <m:r>
                <m:rPr>
                  <m:sty m:val="p"/>
                </m:rPr>
                <m:t>⋅</m:t>
              </m:r>
              <m:r>
                <m:t>ϵ</m:t>
              </m:r>
              <m:r>
                <m:rPr>
                  <m:sty m:val="p"/>
                </m:rPr>
                <m:t>⋅</m:t>
              </m:r>
              <m:r>
                <m:t>N</m:t>
              </m:r>
              <m:r>
                <m:t>E</m:t>
              </m:r>
              <m:sSub>
                <m:e>
                  <m:r>
                    <m:t>X</m:t>
                  </m:r>
                </m:e>
                <m:sub>
                  <m:r>
                    <m:t>P</m:t>
                  </m:r>
                  <m:r>
                    <m:t>W</m:t>
                  </m:r>
                </m:sub>
              </m:sSub>
            </m:den>
          </m:f>
          <m:d>
            <m:dPr>
              <m:begChr m:val="("/>
              <m:sepChr m:val=""/>
              <m:endChr m:val=")"/>
              <m:grow/>
            </m:dPr>
            <m:e>
              <m:f>
                <m:fPr>
                  <m:type m:val="bar"/>
                </m:fPr>
                <m:num>
                  <m:r>
                    <m:t>P</m:t>
                  </m:r>
                  <m:r>
                    <m:t>W</m:t>
                  </m:r>
                </m:num>
                <m:den>
                  <m:r>
                    <m:t>S</m:t>
                  </m:r>
                  <m:sSub>
                    <m:e>
                      <m:r>
                        <m:t>F</m:t>
                      </m:r>
                    </m:e>
                    <m:sub>
                      <m:r>
                        <m:t>P</m:t>
                      </m:r>
                      <m:r>
                        <m:t>W</m:t>
                      </m:r>
                    </m:sub>
                  </m:sSub>
                  <m:r>
                    <m:rPr>
                      <m:sty m:val="p"/>
                    </m:rPr>
                    <m:t>⋅</m:t>
                  </m:r>
                  <m:r>
                    <m:t>P</m:t>
                  </m:r>
                  <m:r>
                    <m:t>D</m:t>
                  </m:r>
                </m:den>
              </m:f>
            </m:e>
          </m:d>
          <m:r>
            <m:t>  </m:t>
          </m:r>
          <m:d>
            <m:dPr>
              <m:begChr m:val="("/>
              <m:sepChr m:val=""/>
              <m:endChr m:val=")"/>
              <m:grow/>
            </m:dPr>
            <m:e>
              <m:r>
                <m:t>3</m:t>
              </m:r>
            </m:e>
          </m:d>
        </m:oMath>
      </m:oMathPara>
      <w:bookmarkEnd w:id="33"/>
    </w:p>
    <w:p>
      <w:pPr>
        <w:pStyle w:val="FirstParagraph"/>
      </w:pPr>
      <w:r>
        <w:t xml:space="preserve">where CBF is the cerebral blood flow in mL / 100 g / min,</w:t>
      </w:r>
      <w:r>
        <w:t xml:space="preserve"> </w:t>
      </w:r>
      <m:oMath>
        <m:r>
          <m:t>λ</m:t>
        </m:r>
      </m:oMath>
      <w:r>
        <w:t xml:space="preserve"> </w:t>
      </w:r>
      <w:r>
        <w:t xml:space="preserve">is the blood/tissue water partition coefficient set to 0.9 mL / g as per Alsop et al. (2015)</w:t>
      </w:r>
      <w:r>
        <w:rPr>
          <w:vertAlign w:val="superscript"/>
        </w:rPr>
        <w:t xml:space="preserve">52</w:t>
      </w:r>
      <w:r>
        <w:t xml:space="preserve">, T</w:t>
      </w:r>
      <w:r>
        <w:rPr>
          <w:vertAlign w:val="subscript"/>
        </w:rPr>
        <w:t xml:space="preserve">1b</w:t>
      </w:r>
      <w:r>
        <w:t xml:space="preserve"> </w:t>
      </w:r>
      <w:r>
        <w:t xml:space="preserve">is the longitudinal relaxation time of blood and was set to 1.89 s as per De Vis et al. (2014)</w:t>
      </w:r>
      <w:r>
        <w:rPr>
          <w:vertAlign w:val="superscript"/>
        </w:rPr>
        <w:t xml:space="preserve">53</w:t>
      </w:r>
      <w:r>
        <w:t xml:space="preserve">, T</w:t>
      </w:r>
      <w:r>
        <w:rPr>
          <w:vertAlign w:val="subscript"/>
        </w:rPr>
        <w:t xml:space="preserve">1t</w:t>
      </w:r>
      <w:r>
        <w:t xml:space="preserve"> </w:t>
      </w:r>
      <w:r>
        <w:t xml:space="preserve">is the longitudinal relaxation time of tissue and was set to 1.2 s, ST is the saturation time (2 s), LT is the labeling duration (1.45 s), PLD is the labeling delay (2.025 s),</w:t>
      </w:r>
      <w:r>
        <w:t xml:space="preserve"> </w:t>
      </w:r>
      <m:oMath>
        <m:r>
          <m:t>ϵ</m:t>
        </m:r>
      </m:oMath>
      <w:r>
        <w:t xml:space="preserve"> </w:t>
      </w:r>
      <w:r>
        <w:t xml:space="preserve">is the efficiency set to 0.6, NEX</w:t>
      </w:r>
      <w:r>
        <w:rPr>
          <w:vertAlign w:val="subscript"/>
        </w:rPr>
        <w:t xml:space="preserve">pw</w:t>
      </w:r>
      <w:r>
        <w:t xml:space="preserve"> </w:t>
      </w:r>
      <w:r>
        <w:t xml:space="preserve">is the number of excitations for PWI images (3), SF</w:t>
      </w:r>
      <w:r>
        <w:rPr>
          <w:vertAlign w:val="subscript"/>
        </w:rPr>
        <w:t xml:space="preserve">pw</w:t>
      </w:r>
      <w:r>
        <w:t xml:space="preserve"> </w:t>
      </w:r>
      <w:r>
        <w:t xml:space="preserve">is the PWI sequence scaling factor (32), PW is the perfusion weighted image, and PD is the proton density image. The constant 6000 converts the unit from mL / g / s to mL / 100 g / min.</w:t>
      </w:r>
    </w:p>
    <w:p>
      <w:pPr>
        <w:pStyle w:val="TextBody"/>
      </w:pPr>
      <w:r>
        <w:t xml:space="preserve">The volume of the tissue masks for each ROI was calculated using</w:t>
      </w:r>
      <w:r>
        <w:t xml:space="preserve"> </w:t>
      </w:r>
      <w:r>
        <w:rPr>
          <w:rStyle w:val="VerbatimChar"/>
        </w:rPr>
        <w:t xml:space="preserve">fslstats</w:t>
      </w:r>
      <w:r>
        <w:t xml:space="preserve">. The tissue masks were registered to the averaged</w:t>
      </w:r>
      <w:r>
        <w:t xml:space="preserve"> </w:t>
      </w:r>
      <m:oMath>
        <m:r>
          <m:t>χ</m:t>
        </m:r>
      </m:oMath>
      <w:r>
        <w:t xml:space="preserve"> </w:t>
      </w:r>
      <w:r>
        <w:t xml:space="preserve">and CBF map by applying the mask and taking the mean of the whole image. All generated variables including the ROI volumes and averages in tissue masks were output into a comma separated variable file with the subject ID and headers for each corresponding column.</w:t>
      </w:r>
    </w:p>
    <w:p>
      <w:pPr>
        <w:pStyle w:val="TextBody"/>
      </w:pPr>
      <w:r>
        <w:t xml:space="preserve">Using values from the csv file, the following equation was used to quantify CMRO</w:t>
      </w:r>
      <w:r>
        <w:rPr>
          <w:vertAlign w:val="subscript"/>
        </w:rPr>
        <w:t xml:space="preserve">2</w:t>
      </w:r>
      <w:r>
        <w:t xml:space="preserve"> </w:t>
      </w:r>
      <w:r>
        <w:t xml:space="preserve">in</w:t>
      </w:r>
      <w:r>
        <w:t xml:space="preserve"> </w:t>
      </w:r>
      <w:r>
        <w:rPr>
          <w:rStyle w:val="VerbatimChar"/>
        </w:rPr>
        <w:t xml:space="preserve">R</w:t>
      </w:r>
      <w:r>
        <w:t xml:space="preserve">:</w:t>
      </w:r>
    </w:p>
    <w:p>
      <w:pPr>
        <w:pStyle w:val="TextBody"/>
      </w:pPr>
      <w:bookmarkStart w:id="34" w:name="eq-cmro2"/>
      <m:oMathPara>
        <m:oMathParaPr>
          <m:jc m:val="center"/>
        </m:oMathParaPr>
        <m:oMath>
          <m:r>
            <m:t>C</m:t>
          </m:r>
          <m:r>
            <m:t>M</m:t>
          </m:r>
          <m:r>
            <m:t>R</m:t>
          </m:r>
          <m:sSub>
            <m:e>
              <m:r>
                <m:t>O</m:t>
              </m:r>
            </m:e>
            <m:sub>
              <m:r>
                <m:t>2</m:t>
              </m:r>
            </m:sub>
          </m:sSub>
          <m:r>
            <m:rPr>
              <m:sty m:val="p"/>
            </m:rPr>
            <m:t>=</m:t>
          </m:r>
          <m:r>
            <m:t>O</m:t>
          </m:r>
          <m:r>
            <m:t>E</m:t>
          </m:r>
          <m:r>
            <m:rPr>
              <m:sty m:val="p"/>
            </m:rPr>
            <m:t>⋅</m:t>
          </m:r>
          <m:r>
            <m:t>C</m:t>
          </m:r>
          <m:r>
            <m:t>B</m:t>
          </m:r>
          <m:r>
            <m:t>F</m:t>
          </m:r>
          <m:r>
            <m:rPr>
              <m:sty m:val="p"/>
            </m:rPr>
            <m:t>⋅</m:t>
          </m:r>
          <m:r>
            <m:t>H</m:t>
          </m:r>
          <m:r>
            <m:t>b</m:t>
          </m:r>
          <m:r>
            <m:t>T</m:t>
          </m:r>
          <m:r>
            <m:rPr>
              <m:sty m:val="p"/>
            </m:rPr>
            <m:t>=</m:t>
          </m:r>
          <m:d>
            <m:dPr>
              <m:begChr m:val="("/>
              <m:sepChr m:val=""/>
              <m:endChr m:val=")"/>
              <m:grow/>
            </m:dPr>
            <m:e>
              <m:r>
                <m:t>C</m:t>
              </m:r>
              <m:r>
                <m:t>S</m:t>
              </m:r>
              <m:r>
                <m:t>a</m:t>
              </m:r>
              <m:sSub>
                <m:e>
                  <m:r>
                    <m:t>O</m:t>
                  </m:r>
                </m:e>
                <m:sub>
                  <m:r>
                    <m:t>2</m:t>
                  </m:r>
                </m:sub>
              </m:sSub>
              <m:r>
                <m:rPr>
                  <m:sty m:val="p"/>
                </m:rPr>
                <m:t>−</m:t>
              </m:r>
              <m:r>
                <m:t>C</m:t>
              </m:r>
              <m:r>
                <m:t>S</m:t>
              </m:r>
              <m:r>
                <m:t>v</m:t>
              </m:r>
              <m:sSub>
                <m:e>
                  <m:r>
                    <m:t>O</m:t>
                  </m:r>
                </m:e>
                <m:sub>
                  <m:r>
                    <m:t>2</m:t>
                  </m:r>
                </m:sub>
              </m:sSub>
            </m:e>
          </m:d>
          <m:r>
            <m:rPr>
              <m:sty m:val="p"/>
            </m:rPr>
            <m:t>⋅</m:t>
          </m:r>
          <m:r>
            <m:t>C</m:t>
          </m:r>
          <m:r>
            <m:t>B</m:t>
          </m:r>
          <m:r>
            <m:t>F</m:t>
          </m:r>
          <m:r>
            <m:rPr>
              <m:sty m:val="p"/>
            </m:rPr>
            <m:t>⋅</m:t>
          </m:r>
          <m:r>
            <m:t>H</m:t>
          </m:r>
          <m:r>
            <m:t>b</m:t>
          </m:r>
          <m:r>
            <m:t>T</m:t>
          </m:r>
          <m:r>
            <m:t>  </m:t>
          </m:r>
          <m:d>
            <m:dPr>
              <m:begChr m:val="("/>
              <m:sepChr m:val=""/>
              <m:endChr m:val=")"/>
              <m:grow/>
            </m:dPr>
            <m:e>
              <m:r>
                <m:t>4</m:t>
              </m:r>
            </m:e>
          </m:d>
        </m:oMath>
      </m:oMathPara>
      <w:bookmarkEnd w:id="34"/>
    </w:p>
    <w:p>
      <w:pPr>
        <w:pStyle w:val="FirstParagraph"/>
      </w:pPr>
      <w:r>
        <w:t xml:space="preserve">where CMRO</w:t>
      </w:r>
      <w:r>
        <w:rPr>
          <w:vertAlign w:val="subscript"/>
        </w:rPr>
        <w:t xml:space="preserve">2</w:t>
      </w:r>
      <w:r>
        <w:t xml:space="preserve"> </w:t>
      </w:r>
      <w:r>
        <w:t xml:space="preserve">is the cerebral metabolic rate of oxygen in</w:t>
      </w:r>
      <w:r>
        <w:t xml:space="preserve"> </w:t>
      </w:r>
      <m:oMath>
        <m:r>
          <m:t>μ</m:t>
        </m:r>
      </m:oMath>
      <w:r>
        <w:t xml:space="preserve">mol / 100 g / min, OE is the oxygen extraction (the difference between CSaO</w:t>
      </w:r>
      <w:r>
        <w:rPr>
          <w:vertAlign w:val="subscript"/>
        </w:rPr>
        <w:t xml:space="preserve">2</w:t>
      </w:r>
      <w:r>
        <w:t xml:space="preserve"> </w:t>
      </w:r>
      <w:r>
        <w:t xml:space="preserve">and CSvO</w:t>
      </w:r>
      <w:r>
        <w:rPr>
          <w:vertAlign w:val="subscript"/>
        </w:rPr>
        <w:t xml:space="preserve">2</w:t>
      </w:r>
      <w:r>
        <w:t xml:space="preserve">), CBF is the cerebral blood flow in mL / 100 g / min, HbT is the hemoglobin concentration and is generally assumed to be Hct / (3 mL / g * 0.01625 g /</w:t>
      </w:r>
      <w:r>
        <w:t xml:space="preserve"> </w:t>
      </w:r>
      <m:oMath>
        <m:r>
          <m:t>μ</m:t>
        </m:r>
      </m:oMath>
      <w:r>
        <w:t xml:space="preserve">mol)</w:t>
      </w:r>
      <w:r>
        <w:rPr>
          <w:vertAlign w:val="superscript"/>
        </w:rPr>
        <w:t xml:space="preserve">54,55</w:t>
      </w:r>
      <w:r>
        <w:t xml:space="preserve">. Semi-regional CMRO</w:t>
      </w:r>
      <w:r>
        <w:rPr>
          <w:vertAlign w:val="subscript"/>
        </w:rPr>
        <w:t xml:space="preserve">2</w:t>
      </w:r>
      <w:r>
        <w:t xml:space="preserve"> </w:t>
      </w:r>
      <w:r>
        <w:t xml:space="preserve">and regional CBF values were calculated by averaging within specific ROIs.</w:t>
      </w:r>
    </w:p>
    <w:bookmarkEnd w:id="35"/>
    <w:bookmarkStart w:id="36" w:name="statistics"/>
    <w:p>
      <w:pPr>
        <w:pStyle w:val="Heading2"/>
      </w:pPr>
      <w:r>
        <w:t xml:space="preserve">Statistics</w:t>
      </w:r>
    </w:p>
    <w:p>
      <w:pPr>
        <w:pStyle w:val="FirstParagraph"/>
      </w:pPr>
      <w:r>
        <w:t xml:space="preserve">Statistical analysis was performed using</w:t>
      </w:r>
      <w:r>
        <w:t xml:space="preserve"> </w:t>
      </w:r>
      <w:r>
        <w:rPr>
          <w:rStyle w:val="VerbatimChar"/>
        </w:rPr>
        <w:t xml:space="preserve">R</w:t>
      </w:r>
      <w:r>
        <w:t xml:space="preserve"> </w:t>
      </w:r>
      <w:r>
        <w:t xml:space="preserve">(v. 4.4.3)</w:t>
      </w:r>
      <w:r>
        <w:rPr>
          <w:vertAlign w:val="superscript"/>
        </w:rPr>
        <w:t xml:space="preserve">56</w:t>
      </w:r>
      <w:r>
        <w:t xml:space="preserve"> </w:t>
      </w:r>
      <w:r>
        <w:t xml:space="preserve">and</w:t>
      </w:r>
      <w:r>
        <w:t xml:space="preserve"> </w:t>
      </w:r>
      <w:r>
        <w:rPr>
          <w:rStyle w:val="VerbatimChar"/>
        </w:rPr>
        <w:t xml:space="preserve">R studio</w:t>
      </w:r>
      <w:r>
        <w:t xml:space="preserve"> </w:t>
      </w:r>
      <w:r>
        <w:t xml:space="preserve">(v. 2022.12.0 Build 353)</w:t>
      </w:r>
      <w:r>
        <w:rPr>
          <w:vertAlign w:val="superscript"/>
        </w:rPr>
        <w:t xml:space="preserve">57</w:t>
      </w:r>
      <w:r>
        <w:t xml:space="preserve">. A multiple linear regression analysis was conducted to examine relationships between dependent variables CBF or CMRO</w:t>
      </w:r>
      <w:r>
        <w:rPr>
          <w:vertAlign w:val="subscript"/>
        </w:rPr>
        <w:t xml:space="preserve">2</w:t>
      </w:r>
      <w:r>
        <w:t xml:space="preserve"> </w:t>
      </w:r>
      <w:r>
        <w:t xml:space="preserve">and independent variables (e.g. days on Category 1 support). GA at birth and post-menstrual age (PMA) at time of scan were included as confounding factors. The correlation coefficient, p-value, and beta value was determined for each individual analysis. Significant relationships were considered with a p-value of 0.05. Multiple comparison corrections were not applied as our analysis was primarily exploratory.</w:t>
      </w:r>
    </w:p>
    <w:p>
      <w:pPr>
        <w:pStyle w:val="TextBody"/>
      </w:pPr>
      <w:r>
        <w:t xml:space="preserve">Using a multiple linear regression analysis including GA and PMA as confounding factors, CBF and CMRO</w:t>
      </w:r>
      <w:r>
        <w:rPr>
          <w:vertAlign w:val="subscript"/>
        </w:rPr>
        <w:t xml:space="preserve">2</w:t>
      </w:r>
      <w:r>
        <w:t xml:space="preserve"> </w:t>
      </w:r>
      <w:r>
        <w:t xml:space="preserve">were analyzed separately against days on: the three separate categories of respiratory support, the number of days in room air (total days in the NICU minus total days on respiratory support), and the proportion of days on respiratory support (total days on respiratory support divided by total days in the NICU). Previous studies have shown a significant negative relationship between the brainstem volume of very preterm neonates at TEA and prolonged days on mechanical ventilation</w:t>
      </w:r>
      <w:r>
        <w:rPr>
          <w:vertAlign w:val="superscript"/>
        </w:rPr>
        <w:t xml:space="preserve">7</w:t>
      </w:r>
      <w:r>
        <w:t xml:space="preserve">; thus the days on Category 1 respiratory support was analyzed with brainstem volumes.</w:t>
      </w:r>
    </w:p>
    <w:bookmarkEnd w:id="36"/>
    <w:bookmarkEnd w:id="37"/>
    <w:bookmarkStart w:id="73" w:name="results"/>
    <w:p>
      <w:pPr>
        <w:pStyle w:val="Heading1"/>
      </w:pPr>
      <w:r>
        <w:t xml:space="preserve">Results</w:t>
      </w:r>
    </w:p>
    <w:p>
      <w:pPr>
        <w:pStyle w:val="FirstParagraph"/>
      </w:pPr>
      <w:r>
        <w:t xml:space="preserve">Median (Q1-Q3) GA at birth and PMA at scan time were 28.86 (27.79 – 29.93) and 40.57 (39.29 – 41.36) weeks, respectively. Median (Q1-Q3) days on Categories 1, 2, and 3 respiratory support, in room air, and length of stay in the NICU were 2 (0 – 4), 19 (11.5 – 32), 7 (5.5 – 12), 11 (3.5 – 23), and 53 (37 – 60), respectively (</w:t>
      </w:r>
      <w:hyperlink w:anchor="tbl-characteristics">
        <w:r>
          <w:rPr>
            <w:rStyle w:val="InternetLink"/>
          </w:rPr>
          <w:t xml:space="preserve">Table 1</w:t>
        </w:r>
      </w:hyperlink>
      <w:r>
        <w:t xml:space="preserve"> </w:t>
      </w:r>
      <w:r>
        <w:t xml:space="preserve">and</w:t>
      </w:r>
      <w:r>
        <w:t xml:space="preserve"> </w:t>
      </w:r>
      <w:hyperlink w:anchor="fig-dayscat">
        <w:r>
          <w:rPr>
            <w:rStyle w:val="InternetLink"/>
          </w:rPr>
          <w:t xml:space="preserve">Figure 1</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42" w:name="fig-dayscat"/>
          <w:p>
            <w:pPr>
              <w:jc w:val="center"/>
            </w:pPr>
            <w:bookmarkStart w:id="41" w:name="dayscat"/>
            <w:r>
              <w:drawing>
                <wp:inline>
                  <wp:extent cx="5943600" cy="5943600"/>
                  <wp:effectExtent b="0" l="0" r="0" t="0"/>
                  <wp:docPr descr="" title="" id="39" name="Picture"/>
                  <a:graphic>
                    <a:graphicData uri="http://schemas.openxmlformats.org/drawingml/2006/picture">
                      <pic:pic>
                        <pic:nvPicPr>
                          <pic:cNvPr descr="index_files/figure-docx/notebooks-CMRO2_Analysis-dayscat-output-2.png" id="40" name="Picture"/>
                          <pic:cNvPicPr>
                            <a:picLocks noChangeArrowheads="1" noChangeAspect="1"/>
                          </pic:cNvPicPr>
                        </pic:nvPicPr>
                        <pic:blipFill>
                          <a:blip r:embed="rId38"/>
                          <a:stretch>
                            <a:fillRect/>
                          </a:stretch>
                        </pic:blipFill>
                        <pic:spPr bwMode="auto">
                          <a:xfrm>
                            <a:off x="0" y="0"/>
                            <a:ext cx="5943600" cy="5943600"/>
                          </a:xfrm>
                          <a:prstGeom prst="rect">
                            <a:avLst/>
                          </a:prstGeom>
                          <a:noFill/>
                          <a:ln w="9525">
                            <a:noFill/>
                            <a:headEnd/>
                            <a:tailEnd/>
                          </a:ln>
                        </pic:spPr>
                      </pic:pic>
                    </a:graphicData>
                  </a:graphic>
                </wp:inline>
              </w:drawing>
            </w:r>
            <w:bookmarkEnd w:id="41"/>
          </w:p>
          <w:p>
            <w:pPr>
              <w:jc w:val="center"/>
            </w:pPr>
            <w:pPr>
              <w:jc w:val="left"/>
              <w:spacing w:before="200"/>
              <w:pStyle w:val="ImageCaption"/>
            </w:pPr>
            <w:r>
              <w:rPr>
                <w:b/>
                <w:bCs/>
              </w:rPr>
              <w:t xml:space="preserve">Figure</w:t>
            </w:r>
            <w:r>
              <w:t xml:space="preserve"> 1</w:t>
            </w:r>
            <w:r>
              <w:rPr>
                <w:b/>
                <w:bCs/>
              </w:rPr>
              <w:t xml:space="preserve">.</w:t>
            </w:r>
            <w:r>
              <w:t xml:space="preserve"> </w:t>
            </w:r>
            <w:r>
              <w:rPr>
                <w:b/>
                <w:bCs/>
              </w:rPr>
              <w:t xml:space="preserve">Types of respiratory support in relation to gestational age at birth, post-menstrual age (PMA) at scan, and days on each type of respiratory support.</w:t>
            </w:r>
            <w:r>
              <w:t xml:space="preserve"> </w:t>
            </w:r>
            <w:r>
              <w:t xml:space="preserve">Note, counts of 0 days on respiratory support are not shown. Category 1 = invasive ventilation; category 2 = noninvasive ventilation; category 3 = high-flow and low-flow support.</w:t>
            </w:r>
          </w:p>
          <w:bookmarkEnd w:id="42"/>
        </w:tc>
      </w:tr>
    </w:tbl>
    <w:p>
      <w:pPr>
        <w:pStyle w:val="TextBody"/>
      </w:pPr>
      <w:r>
        <w:t xml:space="preserve">A subject-by-subject distribution of days on different categories of respiratory support is shown in</w:t>
      </w:r>
      <w:r>
        <w:t xml:space="preserve"> </w:t>
      </w:r>
      <w:hyperlink w:anchor="fig-distribution">
        <w:r>
          <w:rPr>
            <w:rStyle w:val="InternetLink"/>
          </w:rPr>
          <w:t xml:space="preserve">Figure 2</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46" w:name="fig-distribution"/>
          <w:p>
            <w:pPr>
              <w:pStyle w:val="Compact"/>
              <w:jc w:val="center"/>
            </w:pPr>
            <w:r>
              <w:drawing>
                <wp:inline>
                  <wp:extent cx="5943600" cy="3348228"/>
                  <wp:effectExtent b="0" l="0" r="0" t="0"/>
                  <wp:docPr descr="" title="" id="44" name="Picture"/>
                  <a:graphic>
                    <a:graphicData uri="http://schemas.openxmlformats.org/drawingml/2006/picture">
                      <pic:pic>
                        <pic:nvPicPr>
                          <pic:cNvPr descr="./Figures/Figure2_Distribution%20of%20Time%20on%20Category%20of%20Ventilation_font.png" id="45" name="Picture"/>
                          <pic:cNvPicPr>
                            <a:picLocks noChangeArrowheads="1" noChangeAspect="1"/>
                          </pic:cNvPicPr>
                        </pic:nvPicPr>
                        <pic:blipFill>
                          <a:blip r:embed="rId43"/>
                          <a:stretch>
                            <a:fillRect/>
                          </a:stretch>
                        </pic:blipFill>
                        <pic:spPr bwMode="auto">
                          <a:xfrm>
                            <a:off x="0" y="0"/>
                            <a:ext cx="5943600" cy="3348228"/>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Figure</w:t>
            </w:r>
            <w:r>
              <w:t xml:space="preserve"> 2</w:t>
            </w:r>
            <w:r>
              <w:rPr>
                <w:b/>
                <w:bCs/>
              </w:rPr>
              <w:t xml:space="preserve">.</w:t>
            </w:r>
            <w:r>
              <w:t xml:space="preserve"> </w:t>
            </w:r>
            <w:r>
              <w:rPr>
                <w:b/>
                <w:bCs/>
              </w:rPr>
              <w:t xml:space="preserve">Days on the three levels of respiratory support for each study subject.</w:t>
            </w:r>
          </w:p>
          <w:bookmarkEnd w:id="46"/>
        </w:tc>
      </w:tr>
    </w:tbl>
    <w:p>
      <w:pPr>
        <w:pStyle w:val="TextBody"/>
      </w:pPr>
      <w:r>
        <w:t xml:space="preserve">Gestational age at birth was found to be negatively correlated with both days on Category 1 (invasive ventilation) and Category 2 (non-invasive ventilation) respiratory support, but not Category 3 (high-flow/low-flow;</w:t>
      </w:r>
      <w:r>
        <w:t xml:space="preserve"> </w:t>
      </w:r>
      <w:hyperlink w:anchor="fig-linreg">
        <w:r>
          <w:rPr>
            <w:rStyle w:val="InternetLink"/>
          </w:rPr>
          <w:t xml:space="preserve">Figure 3</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51" w:name="fig-linreg"/>
          <w:p>
            <w:pPr>
              <w:jc w:val="center"/>
            </w:pPr>
            <w:bookmarkStart w:id="50" w:name="linreg"/>
            <w:r>
              <w:drawing>
                <wp:inline>
                  <wp:extent cx="5943600" cy="5943600"/>
                  <wp:effectExtent b="0" l="0" r="0" t="0"/>
                  <wp:docPr descr="" title="" id="48" name="Picture"/>
                  <a:graphic>
                    <a:graphicData uri="http://schemas.openxmlformats.org/drawingml/2006/picture">
                      <pic:pic>
                        <pic:nvPicPr>
                          <pic:cNvPr descr="index_files/figure-docx/.-notebooks-CMRO2_Analysis-linreg-output-2.png" id="49" name="Picture"/>
                          <pic:cNvPicPr>
                            <a:picLocks noChangeArrowheads="1" noChangeAspect="1"/>
                          </pic:cNvPicPr>
                        </pic:nvPicPr>
                        <pic:blipFill>
                          <a:blip r:embed="rId47"/>
                          <a:stretch>
                            <a:fillRect/>
                          </a:stretch>
                        </pic:blipFill>
                        <pic:spPr bwMode="auto">
                          <a:xfrm>
                            <a:off x="0" y="0"/>
                            <a:ext cx="5943600" cy="5943600"/>
                          </a:xfrm>
                          <a:prstGeom prst="rect">
                            <a:avLst/>
                          </a:prstGeom>
                          <a:noFill/>
                          <a:ln w="9525">
                            <a:noFill/>
                            <a:headEnd/>
                            <a:tailEnd/>
                          </a:ln>
                        </pic:spPr>
                      </pic:pic>
                    </a:graphicData>
                  </a:graphic>
                </wp:inline>
              </w:drawing>
            </w:r>
            <w:bookmarkEnd w:id="50"/>
          </w:p>
          <w:p>
            <w:pPr>
              <w:jc w:val="center"/>
            </w:pPr>
            <w:pPr>
              <w:jc w:val="left"/>
              <w:spacing w:before="200"/>
              <w:pStyle w:val="ImageCaption"/>
            </w:pPr>
            <w:r>
              <w:rPr>
                <w:b/>
                <w:bCs/>
              </w:rPr>
              <w:t xml:space="preserve">Figure</w:t>
            </w:r>
            <w:r>
              <w:t xml:space="preserve"> 3</w:t>
            </w:r>
            <w:r>
              <w:rPr>
                <w:b/>
                <w:bCs/>
              </w:rPr>
              <w:t xml:space="preserve">.</w:t>
            </w:r>
            <w:r>
              <w:t xml:space="preserve"> </w:t>
            </w:r>
            <w:r>
              <w:rPr>
                <w:b/>
                <w:bCs/>
              </w:rPr>
              <w:t xml:space="preserve">Linear regression of days on the three categories of respiratory support vs gestational age.</w:t>
            </w:r>
          </w:p>
          <w:bookmarkEnd w:id="51"/>
        </w:tc>
      </w:tr>
    </w:tbl>
    <w:p>
      <w:pPr>
        <w:pStyle w:val="TextBody"/>
      </w:pPr>
      <w:r>
        <w:t xml:space="preserve">A sample of results of the MRI analysis, including a sample brain segmentation, CBF map, QSM map, and CMRO</w:t>
      </w:r>
      <w:r>
        <w:rPr>
          <w:vertAlign w:val="subscript"/>
        </w:rPr>
        <w:t xml:space="preserve">2</w:t>
      </w:r>
      <w:r>
        <w:t xml:space="preserve"> </w:t>
      </w:r>
      <w:r>
        <w:t xml:space="preserve">map are shown in</w:t>
      </w:r>
      <w:r>
        <w:t xml:space="preserve"> </w:t>
      </w:r>
      <w:hyperlink w:anchor="fig-sampleimages">
        <w:r>
          <w:rPr>
            <w:rStyle w:val="InternetLink"/>
          </w:rPr>
          <w:t xml:space="preserve">Figure 4</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55" w:name="fig-sampleimages"/>
          <w:p>
            <w:pPr>
              <w:pStyle w:val="Compact"/>
              <w:jc w:val="center"/>
            </w:pPr>
            <w:r>
              <w:drawing>
                <wp:inline>
                  <wp:extent cx="3789102" cy="5526156"/>
                  <wp:effectExtent b="0" l="0" r="0" t="0"/>
                  <wp:docPr descr="" title="" id="53" name="Picture"/>
                  <a:graphic>
                    <a:graphicData uri="http://schemas.openxmlformats.org/drawingml/2006/picture">
                      <pic:pic>
                        <pic:nvPicPr>
                          <pic:cNvPr descr="./Figures/Figure4_combined_300dpi.png" id="54" name="Picture"/>
                          <pic:cNvPicPr>
                            <a:picLocks noChangeArrowheads="1" noChangeAspect="1"/>
                          </pic:cNvPicPr>
                        </pic:nvPicPr>
                        <pic:blipFill>
                          <a:blip r:embed="rId52"/>
                          <a:stretch>
                            <a:fillRect/>
                          </a:stretch>
                        </pic:blipFill>
                        <pic:spPr bwMode="auto">
                          <a:xfrm>
                            <a:off x="0" y="0"/>
                            <a:ext cx="3789102" cy="5526156"/>
                          </a:xfrm>
                          <a:prstGeom prst="rect">
                            <a:avLst/>
                          </a:prstGeom>
                          <a:noFill/>
                          <a:ln w="9525">
                            <a:noFill/>
                            <a:headEnd/>
                            <a:tailEnd/>
                          </a:ln>
                        </pic:spPr>
                      </pic:pic>
                    </a:graphicData>
                  </a:graphic>
                </wp:inline>
              </w:drawing>
            </w:r>
          </w:p>
          <w:p>
            <w:pPr>
              <w:jc w:val="center"/>
            </w:pPr>
            <w:pPr>
              <w:jc w:val="left"/>
              <w:spacing w:before="200"/>
              <w:pStyle w:val="ImageCaption"/>
            </w:pPr>
            <w:r>
              <w:rPr>
                <w:b/>
                <w:bCs/>
              </w:rPr>
              <w:t xml:space="preserve">Figure</w:t>
            </w:r>
            <w:r>
              <w:t xml:space="preserve"> 4</w:t>
            </w:r>
            <w:r>
              <w:rPr>
                <w:b/>
                <w:bCs/>
              </w:rPr>
              <w:t xml:space="preserve">.</w:t>
            </w:r>
            <w:r>
              <w:t xml:space="preserve"> </w:t>
            </w:r>
            <w:r>
              <w:rPr>
                <w:b/>
                <w:bCs/>
              </w:rPr>
              <w:t xml:space="preserve">Sample images from a subject of various MRI results.</w:t>
            </w:r>
            <w:r>
              <w:t xml:space="preserve"> </w:t>
            </w:r>
            <w:r>
              <w:t xml:space="preserve">All images show a sagittal, coronal and axial slice from left to right. A) is a T</w:t>
            </w:r>
            <w:r>
              <w:rPr>
                <w:vertAlign w:val="subscript"/>
              </w:rPr>
              <w:t xml:space="preserve">2</w:t>
            </w:r>
            <w:r>
              <w:t xml:space="preserve">w image in the background with segmentation overlaid in various colors: dark blue = cerebellum; pink = brainstem; light blue = CSF; yellow = white matter; dark orange = cortical grey matter; green = ventricles; light orange = deep grey matter; dark red = hippocampus and amygdala. B) is a processed CBF map from 0 to 47.5 mL/100g/min. C) is a QSM image in the background from -0.1 to 0.1 ppm susceptibility overlaid with a venous mask in red. D) is a processed CMRO</w:t>
            </w:r>
            <w:r>
              <w:rPr>
                <w:vertAlign w:val="subscript"/>
              </w:rPr>
              <w:t xml:space="preserve">2</w:t>
            </w:r>
            <w:r>
              <w:t xml:space="preserve"> </w:t>
            </w:r>
            <w:r>
              <w:t xml:space="preserve">image from 0 to 93 µmol/100g/min. Note that B) and D) look identical as D is simply B multiplied by a value determined by CSaO</w:t>
            </w:r>
            <w:r>
              <w:rPr>
                <w:vertAlign w:val="subscript"/>
              </w:rPr>
              <w:t xml:space="preserve">2</w:t>
            </w:r>
            <w:r>
              <w:t xml:space="preserve">, CSvO</w:t>
            </w:r>
            <w:r>
              <w:rPr>
                <w:vertAlign w:val="subscript"/>
              </w:rPr>
              <w:t xml:space="preserve">2</w:t>
            </w:r>
            <w:r>
              <w:t xml:space="preserve">, and Hct (see</w:t>
            </w:r>
            <w:r>
              <w:t xml:space="preserve"> </w:t>
            </w:r>
            <w:hyperlink w:anchor="eq-cmro2">
              <w:r>
                <w:rPr>
                  <w:rStyle w:val="InternetLink"/>
                </w:rPr>
                <w:t xml:space="preserve">Equation 4</w:t>
              </w:r>
            </w:hyperlink>
            <w:r>
              <w:t xml:space="preserve">). However, this value will be different for every subject.</w:t>
            </w:r>
          </w:p>
          <w:bookmarkEnd w:id="55"/>
        </w:tc>
      </w:tr>
    </w:tbl>
    <w:p>
      <w:pPr>
        <w:pStyle w:val="TextBody"/>
      </w:pPr>
      <w:r>
        <w:t xml:space="preserve">Mean whole-brain CSvO</w:t>
      </w:r>
      <w:r>
        <w:rPr>
          <w:vertAlign w:val="subscript"/>
        </w:rPr>
        <w:t xml:space="preserve">2</w:t>
      </w:r>
      <w:r>
        <w:t xml:space="preserve">, CSaO</w:t>
      </w:r>
      <w:r>
        <w:rPr>
          <w:vertAlign w:val="subscript"/>
        </w:rPr>
        <w:t xml:space="preserve">2</w:t>
      </w:r>
      <w:r>
        <w:t xml:space="preserve">, Hct and OEF values were</w:t>
      </w:r>
      <w:r>
        <w:t xml:space="preserve"> </w:t>
      </w:r>
      <w:r>
        <w:t xml:space="preserve">63.9 ± 4 %, 98.3 ± 1.5 %, 29.7 ± 3.5 %, and 34.9 ± 4.3 %,</w:t>
      </w:r>
      <w:r>
        <w:t xml:space="preserve"> </w:t>
      </w:r>
      <w:r>
        <w:t xml:space="preserve">respectively. Semi-regional mean CMRO</w:t>
      </w:r>
      <w:r>
        <w:rPr>
          <w:vertAlign w:val="subscript"/>
        </w:rPr>
        <w:t xml:space="preserve">2</w:t>
      </w:r>
      <w:r>
        <w:t xml:space="preserve"> </w:t>
      </w:r>
      <w:r>
        <w:t xml:space="preserve">and regional CBF and values are shown in</w:t>
      </w:r>
      <w:r>
        <w:t xml:space="preserve"> </w:t>
      </w:r>
      <w:hyperlink w:anchor="tbl-regvalues">
        <w:r>
          <w:rPr>
            <w:rStyle w:val="InternetLink"/>
          </w:rPr>
          <w:t xml:space="preserve">Table 2</w:t>
        </w:r>
      </w:hyperlink>
      <w:r>
        <w:t xml:space="preserve">. The lowest CBF and CMRO</w:t>
      </w:r>
      <w:r>
        <w:rPr>
          <w:vertAlign w:val="subscript"/>
        </w:rPr>
        <w:t xml:space="preserve">2</w:t>
      </w:r>
      <w:r>
        <w:t xml:space="preserve"> </w:t>
      </w:r>
      <w:r>
        <w:t xml:space="preserve">values were found in the WM, while the highest CBF and CMRO</w:t>
      </w:r>
      <w:r>
        <w:rPr>
          <w:vertAlign w:val="subscript"/>
        </w:rPr>
        <w:t xml:space="preserve">2</w:t>
      </w:r>
      <w:r>
        <w:t xml:space="preserve"> </w:t>
      </w:r>
      <w:r>
        <w:t xml:space="preserve">values were found in the brainstem.</w:t>
      </w:r>
    </w:p>
    <w:p>
      <w:r>
        <w:br w:type="page"/>
      </w:r>
    </w:p>
    <w:tbl>
      <w:tblPr>
        <w:tblStyle w:val="Table"/>
        <w:tblW w:type="pct" w:w="5000"/>
        <w:tblLayout w:type="fixed"/>
        <w:tblLook w:firstRow="0" w:lastRow="0" w:firstColumn="0" w:lastColumn="0" w:noHBand="0" w:noVBand="0" w:val="0000"/>
      </w:tblPr>
      <w:tblGrid>
        <w:gridCol w:w="7920"/>
      </w:tblGrid>
      <w:tr>
        <w:tc>
          <w:tcPr/>
          <w:bookmarkStart w:id="56" w:name="tbl-regvalues"/>
          <w:p>
            <w:pPr>
              <w:jc w:val="center"/>
            </w:pPr>
            <w:pPr>
              <w:jc w:val="left"/>
              <w:spacing w:before="200"/>
              <w:pStyle w:val="ImageCaption"/>
            </w:pPr>
            <w:r>
              <w:rPr>
                <w:b/>
                <w:bCs/>
              </w:rPr>
              <w:t xml:space="preserve">Table</w:t>
            </w:r>
            <w:r>
              <w:t xml:space="preserve"> 2</w:t>
            </w:r>
            <w:r>
              <w:rPr>
                <w:b/>
                <w:bCs/>
              </w:rPr>
              <w:t xml:space="preserve">.</w:t>
            </w:r>
            <w:r>
              <w:t xml:space="preserve"> </w:t>
            </w:r>
            <w:r>
              <w:rPr>
                <w:b/>
                <w:bCs/>
              </w:rPr>
              <w:t xml:space="preserve">Semi-regional CMRO</w:t>
            </w:r>
            <w:r>
              <w:rPr>
                <w:b/>
                <w:bCs/>
                <w:vertAlign w:val="subscript"/>
              </w:rPr>
              <w:t xml:space="preserve">2</w:t>
            </w:r>
            <w:r>
              <w:rPr>
                <w:b/>
                <w:bCs/>
              </w:rPr>
              <w:t xml:space="preserve"> </w:t>
            </w:r>
            <w:r>
              <w:rPr>
                <w:b/>
                <w:bCs/>
              </w:rPr>
              <w:t xml:space="preserve">and regional CBF mean ± standard deviation values.</w:t>
            </w:r>
            <w:r>
              <w:t xml:space="preserve"> </w:t>
            </w:r>
            <w:r>
              <w:t xml:space="preserve">White matter tissue was found to have the lowest CBF/CMRO</w:t>
            </w:r>
            <w:r>
              <w:rPr>
                <w:vertAlign w:val="subscript"/>
              </w:rPr>
              <w:t xml:space="preserve">2</w:t>
            </w:r>
            <w:r>
              <w:t xml:space="preserve"> </w:t>
            </w:r>
            <w:r>
              <w:t xml:space="preserve">values, while the brainstem had the highest.</w:t>
            </w:r>
          </w:p>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3574"/>
              <w:gridCol w:w="2776"/>
              <w:gridCol w:w="3378"/>
            </w:tblGrid>
            <w:tr>
              <w:trPr>
                <w:trHeight w:val="625" w:hRule="auto"/>
                <w:tblHeader/>
              </w:trPr>
              header1
              <w:tc>
                <w:tcPr>
                  <w:tcBorders>
                    <w:bottom w:val="none" w:sz="0" w:space="0" w:color="000000"/>
                    <w:top w:val="none" w:sz="0" w:space="0" w:color="000000"/>
                    <w:left w:val="none" w:sz="0" w:space="0" w:color="000000"/>
                    <w:right w:val="none" w:sz="0" w:space="0" w:color="000000"/>
                  </w:tcBorders>
                  <w:shd w:val="clear" w:color="auto" w:fill="D3D3D3"/>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ROI</w:t>
                  </w:r>
                </w:p>
              </w:tc>
              <w:tc>
                <w:tcPr>
                  <w:tcBorders>
                    <w:bottom w:val="none" w:sz="0" w:space="0" w:color="000000"/>
                    <w:top w:val="none" w:sz="0" w:space="0" w:color="000000"/>
                    <w:left w:val="none" w:sz="0" w:space="0" w:color="000000"/>
                    <w:right w:val="none" w:sz="0" w:space="0" w:color="000000"/>
                  </w:tcBorders>
                  <w:shd w:val="clear" w:color="auto" w:fill="D3D3D3"/>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CBF (mL/100g/min)</w:t>
                  </w:r>
                </w:p>
              </w:tc>
              <w:tc>
                <w:tcPr>
                  <w:tcBorders>
                    <w:bottom w:val="none" w:sz="0" w:space="0" w:color="000000"/>
                    <w:top w:val="none" w:sz="0" w:space="0" w:color="000000"/>
                    <w:left w:val="none" w:sz="0" w:space="0" w:color="000000"/>
                    <w:right w:val="none" w:sz="0" w:space="0" w:color="000000"/>
                  </w:tcBorders>
                  <w:shd w:val="clear" w:color="auto" w:fill="D3D3D3"/>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CMRO₂ (µmol/100g/min)</w:t>
                  </w:r>
                </w:p>
              </w:tc>
            </w:tr>
            <w:tr>
              <w:trPr>
                <w:trHeight w:val="577" w:hRule="auto"/>
              </w:trPr>
              body1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CGM</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14.3</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4.25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29.49</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8.62</w:t>
                  </w:r>
                </w:p>
              </w:tc>
            </w:tr>
            <w:tr>
              <w:trPr>
                <w:trHeight w:val="577" w:hRule="auto"/>
              </w:trPr>
              body2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WM</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11.18</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3.11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23.08</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6.47</w:t>
                  </w:r>
                </w:p>
              </w:tc>
            </w:tr>
            <w:tr>
              <w:trPr>
                <w:trHeight w:val="577" w:hRule="auto"/>
              </w:trPr>
              body3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DGM</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18.1</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6.63</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37.22</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13.23</w:t>
                  </w:r>
                </w:p>
              </w:tc>
            </w:tr>
            <w:tr>
              <w:trPr>
                <w:trHeight w:val="581" w:hRule="auto"/>
              </w:trPr>
              body4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Brainstem</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27.16</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11.05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55.69</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21.34</w:t>
                  </w:r>
                </w:p>
              </w:tc>
            </w:tr>
            <w:tr>
              <w:trPr>
                <w:trHeight w:val="581" w:hRule="auto"/>
              </w:trPr>
              body5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Cerebellum</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21.78</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8.27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44.68</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15.98</w:t>
                  </w:r>
                </w:p>
              </w:tc>
            </w:tr>
            <w:tr>
              <w:trPr>
                <w:trHeight w:val="624" w:hRule="auto"/>
              </w:trPr>
              body6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Hippocampus</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and</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Amygdala</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19.98</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6.85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41.14</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13.69</w:t>
                  </w:r>
                </w:p>
              </w:tc>
            </w:tr>
            <w:tr>
              <w:trPr>
                <w:trHeight w:val="360" w:hRule="auto"/>
              </w:trPr>
              footer1
              <w:tc>
                <w:tcPr>
                  <w:gridSpan w:val="3"/>
                  <w:tcBorders>
                    <w:bottom w:val="none" w:sz="0" w:space="0" w:color="FFFFFF"/>
                    <w:top w:val="none" w:sz="0" w:space="0" w:color="000000"/>
                    <w:left w:val="none" w:sz="0" w:space="0" w:color="FFFFFF"/>
                    <w:right w:val="none" w:sz="0" w:space="0" w:color="FFFFFF"/>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vertAlign w:val="superscript"/>
                      <w:sz w:val="22"/>
                      <w:szCs w:val="22"/>
                      <w:color w:val="000000"/>
                    </w:rPr>
                    <w:t xml:space="preserve"/>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CBF = cerebral blood flow; CMRO₂ = cerebral metabolic rate of oxygen; ROI = region of interest; CGM = cerebral grey matter; WM = white matter; DGM = deep grey matter</w:t>
                  </w:r>
                </w:p>
              </w:tc>
            </w:tr>
          </w:tbl>
          <w:bookmarkEnd w:id="56"/>
        </w:tc>
      </w:tr>
    </w:tbl>
    <w:p>
      <w:pPr>
        <w:pStyle w:val="TextBody"/>
      </w:pPr>
      <w:r>
        <w:t xml:space="preserve">Multiple linear regression analysis of semi-regional CMRO</w:t>
      </w:r>
      <w:r>
        <w:rPr>
          <w:vertAlign w:val="subscript"/>
        </w:rPr>
        <w:t xml:space="preserve">2</w:t>
      </w:r>
      <w:r>
        <w:t xml:space="preserve"> </w:t>
      </w:r>
      <w:r>
        <w:t xml:space="preserve">and regional CBF showed significant positive correlations with proportion of days on respiratory support (</w:t>
      </w:r>
      <w:hyperlink w:anchor="fig-proportion">
        <w:r>
          <w:rPr>
            <w:rStyle w:val="InternetLink"/>
          </w:rPr>
          <w:t xml:space="preserve">Figure 5</w:t>
        </w:r>
      </w:hyperlink>
      <w:r>
        <w:t xml:space="preserve">), days on Category 2 respiratory support (</w:t>
      </w:r>
      <w:hyperlink w:anchor="fig-cat2">
        <w:r>
          <w:rPr>
            <w:rStyle w:val="InternetLink"/>
          </w:rPr>
          <w:t xml:space="preserve">Figure 6</w:t>
        </w:r>
      </w:hyperlink>
      <w:r>
        <w:t xml:space="preserve">), and significant negative correlations with days in room air (</w:t>
      </w:r>
      <w:hyperlink w:anchor="fig-roomair">
        <w:r>
          <w:rPr>
            <w:rStyle w:val="InternetLink"/>
          </w:rPr>
          <w:t xml:space="preserve">Figure 7</w:t>
        </w:r>
      </w:hyperlink>
      <w:r>
        <w:t xml:space="preserve">). Results are summarized in</w:t>
      </w:r>
      <w:r>
        <w:t xml:space="preserve"> </w:t>
      </w:r>
      <w:hyperlink w:anchor="tbl-linreg">
        <w:r>
          <w:rPr>
            <w:rStyle w:val="InternetLink"/>
          </w:rPr>
          <w:t xml:space="preserve">Table 3</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61" w:name="fig-proportion"/>
          <w:p>
            <w:pPr>
              <w:jc w:val="center"/>
            </w:pPr>
            <w:bookmarkStart w:id="60" w:name="proportion"/>
            <w:r>
              <w:drawing>
                <wp:inline>
                  <wp:extent cx="5943600" cy="5943600"/>
                  <wp:effectExtent b="0" l="0" r="0" t="0"/>
                  <wp:docPr descr="" title="" id="58" name="Picture"/>
                  <a:graphic>
                    <a:graphicData uri="http://schemas.openxmlformats.org/drawingml/2006/picture">
                      <pic:pic>
                        <pic:nvPicPr>
                          <pic:cNvPr descr="index_files/figure-docx/.-notebooks-CMRO2_Analysis-proportion-output-2.png" id="59" name="Picture"/>
                          <pic:cNvPicPr>
                            <a:picLocks noChangeArrowheads="1" noChangeAspect="1"/>
                          </pic:cNvPicPr>
                        </pic:nvPicPr>
                        <pic:blipFill>
                          <a:blip r:embed="rId57"/>
                          <a:stretch>
                            <a:fillRect/>
                          </a:stretch>
                        </pic:blipFill>
                        <pic:spPr bwMode="auto">
                          <a:xfrm>
                            <a:off x="0" y="0"/>
                            <a:ext cx="5943600" cy="5943600"/>
                          </a:xfrm>
                          <a:prstGeom prst="rect">
                            <a:avLst/>
                          </a:prstGeom>
                          <a:noFill/>
                          <a:ln w="9525">
                            <a:noFill/>
                            <a:headEnd/>
                            <a:tailEnd/>
                          </a:ln>
                        </pic:spPr>
                      </pic:pic>
                    </a:graphicData>
                  </a:graphic>
                </wp:inline>
              </w:drawing>
            </w:r>
            <w:bookmarkEnd w:id="60"/>
          </w:p>
          <w:p>
            <w:pPr>
              <w:jc w:val="center"/>
            </w:pPr>
            <w:pPr>
              <w:jc w:val="left"/>
              <w:spacing w:before="200"/>
              <w:pStyle w:val="ImageCaption"/>
            </w:pPr>
            <w:r>
              <w:rPr>
                <w:b/>
                <w:bCs/>
              </w:rPr>
              <w:t xml:space="preserve">Figure</w:t>
            </w:r>
            <w:r>
              <w:t xml:space="preserve"> 5</w:t>
            </w:r>
            <w:r>
              <w:rPr>
                <w:b/>
                <w:bCs/>
              </w:rPr>
              <w:t xml:space="preserve">.</w:t>
            </w:r>
            <w:r>
              <w:t xml:space="preserve"> </w:t>
            </w:r>
            <w:r>
              <w:rPr>
                <w:b/>
                <w:bCs/>
              </w:rPr>
              <w:t xml:space="preserve">CBF (A-F) and CMRO</w:t>
            </w:r>
            <w:r>
              <w:rPr>
                <w:b/>
                <w:bCs/>
                <w:vertAlign w:val="subscript"/>
              </w:rPr>
              <w:t xml:space="preserve">2</w:t>
            </w:r>
            <w:r>
              <w:rPr>
                <w:b/>
                <w:bCs/>
              </w:rPr>
              <w:t xml:space="preserve"> </w:t>
            </w:r>
            <w:r>
              <w:rPr>
                <w:b/>
                <w:bCs/>
              </w:rPr>
              <w:t xml:space="preserve">(G-L) vs proportion of time on all categories while in the NICU.</w:t>
            </w:r>
            <w:r>
              <w:t xml:space="preserve"> </w:t>
            </w:r>
            <w:r>
              <w:t xml:space="preserve">Raw data points as filled black circles. Grey line and ribbon represent linear model of raw data points and 95% interval, respectively. Blue line and ribbon represent adjusted multiple linear regression including GA and PMA as confounding factors.</w:t>
            </w:r>
          </w:p>
          <w:bookmarkEnd w:id="61"/>
        </w:tc>
      </w:tr>
    </w:tbl>
    <w:p/>
    <w:tbl>
      <w:tblPr>
        <w:tblStyle w:val="Table"/>
        <w:tblW w:type="pct" w:w="5000"/>
        <w:tblLayout w:type="fixed"/>
        <w:tblLook w:firstRow="0" w:lastRow="0" w:firstColumn="0" w:lastColumn="0" w:noHBand="0" w:noVBand="0" w:val="0000"/>
      </w:tblPr>
      <w:tblGrid>
        <w:gridCol w:w="7920"/>
      </w:tblGrid>
      <w:tr>
        <w:tc>
          <w:tcPr/>
          <w:bookmarkStart w:id="66" w:name="fig-cat2"/>
          <w:p>
            <w:pPr>
              <w:jc w:val="center"/>
            </w:pPr>
            <w:bookmarkStart w:id="65" w:name="cat2"/>
            <w:r>
              <w:drawing>
                <wp:inline>
                  <wp:extent cx="5943600" cy="5943600"/>
                  <wp:effectExtent b="0" l="0" r="0" t="0"/>
                  <wp:docPr descr="" title="" id="63" name="Picture"/>
                  <a:graphic>
                    <a:graphicData uri="http://schemas.openxmlformats.org/drawingml/2006/picture">
                      <pic:pic>
                        <pic:nvPicPr>
                          <pic:cNvPr descr="index_files/figure-docx/.-notebooks-CMRO2_Analysis-cat2-output-2.png" id="64" name="Picture"/>
                          <pic:cNvPicPr>
                            <a:picLocks noChangeArrowheads="1" noChangeAspect="1"/>
                          </pic:cNvPicPr>
                        </pic:nvPicPr>
                        <pic:blipFill>
                          <a:blip r:embed="rId62"/>
                          <a:stretch>
                            <a:fillRect/>
                          </a:stretch>
                        </pic:blipFill>
                        <pic:spPr bwMode="auto">
                          <a:xfrm>
                            <a:off x="0" y="0"/>
                            <a:ext cx="5943600" cy="5943600"/>
                          </a:xfrm>
                          <a:prstGeom prst="rect">
                            <a:avLst/>
                          </a:prstGeom>
                          <a:noFill/>
                          <a:ln w="9525">
                            <a:noFill/>
                            <a:headEnd/>
                            <a:tailEnd/>
                          </a:ln>
                        </pic:spPr>
                      </pic:pic>
                    </a:graphicData>
                  </a:graphic>
                </wp:inline>
              </w:drawing>
            </w:r>
            <w:bookmarkEnd w:id="65"/>
          </w:p>
          <w:p>
            <w:pPr>
              <w:jc w:val="center"/>
            </w:pPr>
            <w:pPr>
              <w:jc w:val="left"/>
              <w:spacing w:before="200"/>
              <w:pStyle w:val="ImageCaption"/>
            </w:pPr>
            <w:r>
              <w:rPr>
                <w:b/>
                <w:bCs/>
              </w:rPr>
              <w:t xml:space="preserve">Figure</w:t>
            </w:r>
            <w:r>
              <w:t xml:space="preserve"> 6</w:t>
            </w:r>
            <w:r>
              <w:rPr>
                <w:b/>
                <w:bCs/>
              </w:rPr>
              <w:t xml:space="preserve">.</w:t>
            </w:r>
            <w:r>
              <w:t xml:space="preserve"> </w:t>
            </w:r>
            <w:r>
              <w:rPr>
                <w:b/>
                <w:bCs/>
              </w:rPr>
              <w:t xml:space="preserve">CBF (A-F) and CMRO</w:t>
            </w:r>
            <w:r>
              <w:rPr>
                <w:b/>
                <w:bCs/>
                <w:vertAlign w:val="subscript"/>
              </w:rPr>
              <w:t xml:space="preserve">2</w:t>
            </w:r>
            <w:r>
              <w:rPr>
                <w:b/>
                <w:bCs/>
              </w:rPr>
              <w:t xml:space="preserve"> </w:t>
            </w:r>
            <w:r>
              <w:rPr>
                <w:b/>
                <w:bCs/>
              </w:rPr>
              <w:t xml:space="preserve">(G-L) values against Days on Noninvasive Ventilation (Category 2).</w:t>
            </w:r>
            <w:r>
              <w:t xml:space="preserve"> </w:t>
            </w:r>
            <w:r>
              <w:t xml:space="preserve">Raw data points as filled black circles. Grey line and ribbon represent linear model of raw data points and 95% interval, respectively. Blue line and ribbon represent adjusted multiple linear regression including GA and PMA as confounding factors.</w:t>
            </w:r>
          </w:p>
          <w:bookmarkEnd w:id="66"/>
        </w:tc>
      </w:tr>
    </w:tbl>
    <w:p/>
    <w:tbl>
      <w:tblPr>
        <w:tblStyle w:val="Table"/>
        <w:tblW w:type="pct" w:w="5000"/>
        <w:tblLayout w:type="fixed"/>
        <w:tblLook w:firstRow="0" w:lastRow="0" w:firstColumn="0" w:lastColumn="0" w:noHBand="0" w:noVBand="0" w:val="0000"/>
      </w:tblPr>
      <w:tblGrid>
        <w:gridCol w:w="7920"/>
      </w:tblGrid>
      <w:tr>
        <w:tc>
          <w:tcPr/>
          <w:bookmarkStart w:id="71" w:name="fig-roomair"/>
          <w:p>
            <w:pPr>
              <w:jc w:val="center"/>
            </w:pPr>
            <w:bookmarkStart w:id="70" w:name="roomair"/>
            <w:r>
              <w:drawing>
                <wp:inline>
                  <wp:extent cx="5943600" cy="5943600"/>
                  <wp:effectExtent b="0" l="0" r="0" t="0"/>
                  <wp:docPr descr="" title="" id="68" name="Picture"/>
                  <a:graphic>
                    <a:graphicData uri="http://schemas.openxmlformats.org/drawingml/2006/picture">
                      <pic:pic>
                        <pic:nvPicPr>
                          <pic:cNvPr descr="index_files/figure-docx/.-notebooks-CMRO2_Analysis-roomair-output-2.png" id="69" name="Picture"/>
                          <pic:cNvPicPr>
                            <a:picLocks noChangeArrowheads="1" noChangeAspect="1"/>
                          </pic:cNvPicPr>
                        </pic:nvPicPr>
                        <pic:blipFill>
                          <a:blip r:embed="rId67"/>
                          <a:stretch>
                            <a:fillRect/>
                          </a:stretch>
                        </pic:blipFill>
                        <pic:spPr bwMode="auto">
                          <a:xfrm>
                            <a:off x="0" y="0"/>
                            <a:ext cx="5943600" cy="5943600"/>
                          </a:xfrm>
                          <a:prstGeom prst="rect">
                            <a:avLst/>
                          </a:prstGeom>
                          <a:noFill/>
                          <a:ln w="9525">
                            <a:noFill/>
                            <a:headEnd/>
                            <a:tailEnd/>
                          </a:ln>
                        </pic:spPr>
                      </pic:pic>
                    </a:graphicData>
                  </a:graphic>
                </wp:inline>
              </w:drawing>
            </w:r>
            <w:bookmarkEnd w:id="70"/>
          </w:p>
          <w:p>
            <w:pPr>
              <w:jc w:val="center"/>
            </w:pPr>
            <w:pPr>
              <w:jc w:val="left"/>
              <w:spacing w:before="200"/>
              <w:pStyle w:val="ImageCaption"/>
            </w:pPr>
            <w:r>
              <w:rPr>
                <w:b/>
                <w:bCs/>
              </w:rPr>
              <w:t xml:space="preserve">Figure</w:t>
            </w:r>
            <w:r>
              <w:t xml:space="preserve"> 7</w:t>
            </w:r>
            <w:r>
              <w:rPr>
                <w:b/>
                <w:bCs/>
              </w:rPr>
              <w:t xml:space="preserve">.</w:t>
            </w:r>
            <w:r>
              <w:t xml:space="preserve"> </w:t>
            </w:r>
            <w:r>
              <w:rPr>
                <w:b/>
                <w:bCs/>
              </w:rPr>
              <w:t xml:space="preserve">CBF () and CMRO</w:t>
            </w:r>
            <w:r>
              <w:rPr>
                <w:b/>
                <w:bCs/>
                <w:vertAlign w:val="subscript"/>
              </w:rPr>
              <w:t xml:space="preserve">2</w:t>
            </w:r>
            <w:r>
              <w:rPr>
                <w:b/>
                <w:bCs/>
              </w:rPr>
              <w:t xml:space="preserve"> </w:t>
            </w:r>
            <w:r>
              <w:rPr>
                <w:b/>
                <w:bCs/>
              </w:rPr>
              <w:t xml:space="preserve">(b) values vs days in room air.</w:t>
            </w:r>
            <w:r>
              <w:t xml:space="preserve"> </w:t>
            </w:r>
            <w:r>
              <w:t xml:space="preserve">Raw data points as filled black circles. Grey line and ribbon represent linear model of raw data points and 95% interval, respectively. Blue line and ribbon represent adjusted multiple linear regression including GA and PMA as confounding factors.</w:t>
            </w:r>
          </w:p>
          <w:bookmarkEnd w:id="71"/>
        </w:tc>
      </w:tr>
    </w:tbl>
    <w:p>
      <w:pPr>
        <w:pStyle w:val="TextBody"/>
      </w:pPr>
      <w:r>
        <w:t xml:space="preserve">No significant relationships were found between respiratory support categories and OEF, CSvO</w:t>
      </w:r>
      <w:r>
        <w:rPr>
          <w:vertAlign w:val="subscript"/>
        </w:rPr>
        <w:t xml:space="preserve">2</w:t>
      </w:r>
      <w:r>
        <w:t xml:space="preserve">, CSaO</w:t>
      </w:r>
      <w:r>
        <w:rPr>
          <w:vertAlign w:val="subscript"/>
        </w:rPr>
        <w:t xml:space="preserve">2</w:t>
      </w:r>
      <w:r>
        <w:t xml:space="preserve">, Hct (</w:t>
      </w:r>
      <w:hyperlink w:anchor="tbl-linreg">
        <w:r>
          <w:rPr>
            <w:rStyle w:val="InternetLink"/>
          </w:rPr>
          <w:t xml:space="preserve">Table 3</w:t>
        </w:r>
      </w:hyperlink>
      <w:r>
        <w:t xml:space="preserve">). No significant relationship was observed between brainstem volume and days on Category 1 respiratory support.</w:t>
      </w:r>
    </w:p>
    <w:tbl>
      <w:tblPr>
        <w:tblStyle w:val="Table"/>
        <w:tblW w:type="pct" w:w="5000"/>
        <w:tblLayout w:type="fixed"/>
        <w:tblLook w:firstRow="0" w:lastRow="0" w:firstColumn="0" w:lastColumn="0" w:noHBand="0" w:noVBand="0" w:val="0000"/>
      </w:tblPr>
      <w:tblGrid>
        <w:gridCol w:w="7920"/>
      </w:tblGrid>
      <w:tr>
        <w:tc>
          <w:tcPr/>
          <w:bookmarkStart w:id="72" w:name="tbl-linreg"/>
          <w:p>
            <w:pPr>
              <w:jc w:val="center"/>
            </w:pPr>
            <w:pPr>
              <w:jc w:val="left"/>
              <w:spacing w:before="200"/>
              <w:pStyle w:val="ImageCaption"/>
            </w:pPr>
            <w:r>
              <w:rPr>
                <w:b/>
                <w:bCs/>
              </w:rPr>
              <w:t xml:space="preserve">Table</w:t>
            </w:r>
            <w:r>
              <w:t xml:space="preserve"> 3</w:t>
            </w:r>
            <w:r>
              <w:rPr>
                <w:b/>
                <w:bCs/>
              </w:rPr>
              <w:t xml:space="preserve">.</w:t>
            </w:r>
            <w:r>
              <w:t xml:space="preserve"> </w:t>
            </w:r>
            <w:r>
              <w:rPr>
                <w:b/>
                <w:bCs/>
              </w:rPr>
              <w:t xml:space="preserve">Results from linear regression of physiological parameters with days on various forms of respiratory support.</w:t>
            </w:r>
            <w:r>
              <w:t xml:space="preserve"> </w:t>
            </w:r>
            <w:r>
              <w:t xml:space="preserve">All analyses included GA and PMA as confounding variables.</w:t>
            </w:r>
          </w:p>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1664"/>
              <w:gridCol w:w="4518"/>
              <w:gridCol w:w="5003"/>
              <w:gridCol w:w="5305"/>
              <w:gridCol w:w="5010"/>
              <w:gridCol w:w="3864"/>
            </w:tblGrid>
            <w:tr>
              <w:trPr>
                <w:trHeight w:val="625" w:hRule="auto"/>
                <w:tblHeader/>
              </w:trPr>
              header 1
              <w:tc>
                <w:tcPr>
                  <w:tcBorders>
                    <w:bottom w:val="none" w:sz="0" w:space="0" w:color="000000"/>
                    <w:top w:val="none" w:sz="0" w:space="0" w:color="000000"/>
                    <w:left w:val="none" w:sz="0" w:space="0" w:color="000000"/>
                    <w:right w:val="none" w:sz="0" w:space="0" w:color="000000"/>
                  </w:tcBorders>
                  <w:shd w:val="clear" w:color="auto" w:fill="D3D3D3"/>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ROI</w:t>
                  </w:r>
                </w:p>
              </w:tc>
              <w:tc>
                <w:tcPr>
                  <w:tcBorders>
                    <w:bottom w:val="none" w:sz="0" w:space="0" w:color="000000"/>
                    <w:top w:val="none" w:sz="0" w:space="0" w:color="000000"/>
                    <w:left w:val="none" w:sz="0" w:space="0" w:color="000000"/>
                    <w:right w:val="none" w:sz="0" w:space="0" w:color="000000"/>
                  </w:tcBorders>
                  <w:shd w:val="clear" w:color="auto" w:fill="D3D3D3"/>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Invasive Ventilation (Category 1)</w:t>
                  </w:r>
                </w:p>
              </w:tc>
              <w:tc>
                <w:tcPr>
                  <w:tcBorders>
                    <w:bottom w:val="none" w:sz="0" w:space="0" w:color="000000"/>
                    <w:top w:val="none" w:sz="0" w:space="0" w:color="000000"/>
                    <w:left w:val="none" w:sz="0" w:space="0" w:color="000000"/>
                    <w:right w:val="none" w:sz="0" w:space="0" w:color="000000"/>
                  </w:tcBorders>
                  <w:shd w:val="clear" w:color="auto" w:fill="D3D3D3"/>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Noninvasive Ventilation (Category 2)</w:t>
                  </w:r>
                </w:p>
              </w:tc>
              <w:tc>
                <w:tcPr>
                  <w:tcBorders>
                    <w:bottom w:val="none" w:sz="0" w:space="0" w:color="000000"/>
                    <w:top w:val="none" w:sz="0" w:space="0" w:color="000000"/>
                    <w:left w:val="none" w:sz="0" w:space="0" w:color="000000"/>
                    <w:right w:val="none" w:sz="0" w:space="0" w:color="000000"/>
                  </w:tcBorders>
                  <w:shd w:val="clear" w:color="auto" w:fill="D3D3D3"/>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High-flow and low-flow air (Category 3)</w:t>
                  </w:r>
                </w:p>
              </w:tc>
              <w:tc>
                <w:tcPr>
                  <w:tcBorders>
                    <w:bottom w:val="none" w:sz="0" w:space="0" w:color="000000"/>
                    <w:top w:val="none" w:sz="0" w:space="0" w:color="000000"/>
                    <w:left w:val="none" w:sz="0" w:space="0" w:color="000000"/>
                    <w:right w:val="none" w:sz="0" w:space="0" w:color="000000"/>
                  </w:tcBorders>
                  <w:shd w:val="clear" w:color="auto" w:fill="D3D3D3"/>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Proportion Of Days On All Categories</w:t>
                  </w:r>
                </w:p>
              </w:tc>
              <w:tc>
                <w:tcPr>
                  <w:tcBorders>
                    <w:bottom w:val="none" w:sz="0" w:space="0" w:color="000000"/>
                    <w:top w:val="none" w:sz="0" w:space="0" w:color="000000"/>
                    <w:left w:val="none" w:sz="0" w:space="0" w:color="000000"/>
                    <w:right w:val="none" w:sz="0" w:space="0" w:color="000000"/>
                  </w:tcBorders>
                  <w:shd w:val="clear" w:color="auto" w:fill="D3D3D3"/>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Room Air</w:t>
                  </w:r>
                </w:p>
              </w:tc>
            </w:tr>
            <w:tr>
              <w:trPr>
                <w:trHeight w:val="628" w:hRule="auto"/>
              </w:trPr>
              body 1
              <w:tc>
                <w:tcPr>
                  <w:tcBorders>
                    <w:bottom w:val="none" w:sz="0" w:space="0" w:color="000000"/>
                    <w:top w:val="none" w:sz="0" w:space="0" w:color="000000"/>
                    <w:left w:val="none" w:sz="0" w:space="0" w:color="000000"/>
                    <w:right w:val="none" w:sz="0" w:space="0" w:color="000000"/>
                  </w:tcBorders>
                  <w:shd w:val="clear" w:color="auto" w:fill="D3D3D3"/>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r>
                </w:p>
              </w:tc>
              <w:tc>
                <w:tcPr>
                  <w:tcBorders>
                    <w:bottom w:val="none" w:sz="0" w:space="0" w:color="000000"/>
                    <w:top w:val="none" w:sz="0" w:space="0" w:color="000000"/>
                    <w:left w:val="none" w:sz="0" w:space="0" w:color="000000"/>
                    <w:right w:val="none" w:sz="0" w:space="0" w:color="000000"/>
                  </w:tcBorders>
                  <w:shd w:val="clear" w:color="auto" w:fill="D3D3D3"/>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β</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[95%</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CI]</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Adj</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R</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vertAlign w:val="superscript"/>
                      <w:sz w:val="22"/>
                      <w:szCs w:val="22"/>
                      <w:color w:val="000000"/>
                    </w:rPr>
                    <w:t xml:space="preserve">2</w:t>
                  </w:r>
                </w:p>
              </w:tc>
              <w:tc>
                <w:tcPr>
                  <w:tcBorders>
                    <w:bottom w:val="none" w:sz="0" w:space="0" w:color="000000"/>
                    <w:top w:val="none" w:sz="0" w:space="0" w:color="000000"/>
                    <w:left w:val="none" w:sz="0" w:space="0" w:color="000000"/>
                    <w:right w:val="none" w:sz="0" w:space="0" w:color="000000"/>
                  </w:tcBorders>
                  <w:shd w:val="clear" w:color="auto" w:fill="D3D3D3"/>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β</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[95%</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CI]</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Adj</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R</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vertAlign w:val="superscript"/>
                      <w:sz w:val="22"/>
                      <w:szCs w:val="22"/>
                      <w:color w:val="000000"/>
                    </w:rPr>
                    <w:t xml:space="preserve">2</w:t>
                  </w:r>
                </w:p>
              </w:tc>
              <w:tc>
                <w:tcPr>
                  <w:tcBorders>
                    <w:bottom w:val="none" w:sz="0" w:space="0" w:color="000000"/>
                    <w:top w:val="none" w:sz="0" w:space="0" w:color="000000"/>
                    <w:left w:val="none" w:sz="0" w:space="0" w:color="000000"/>
                    <w:right w:val="none" w:sz="0" w:space="0" w:color="000000"/>
                  </w:tcBorders>
                  <w:shd w:val="clear" w:color="auto" w:fill="D3D3D3"/>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β</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[95%</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CI]</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Adj</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R</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vertAlign w:val="superscript"/>
                      <w:sz w:val="22"/>
                      <w:szCs w:val="22"/>
                      <w:color w:val="000000"/>
                    </w:rPr>
                    <w:t xml:space="preserve">2</w:t>
                  </w:r>
                </w:p>
              </w:tc>
              <w:tc>
                <w:tcPr>
                  <w:tcBorders>
                    <w:bottom w:val="none" w:sz="0" w:space="0" w:color="000000"/>
                    <w:top w:val="none" w:sz="0" w:space="0" w:color="000000"/>
                    <w:left w:val="none" w:sz="0" w:space="0" w:color="000000"/>
                    <w:right w:val="none" w:sz="0" w:space="0" w:color="000000"/>
                  </w:tcBorders>
                  <w:shd w:val="clear" w:color="auto" w:fill="D3D3D3"/>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β</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[95%</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CI]</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Adj</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R</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vertAlign w:val="superscript"/>
                      <w:sz w:val="22"/>
                      <w:szCs w:val="22"/>
                      <w:color w:val="000000"/>
                    </w:rPr>
                    <w:t xml:space="preserve">2</w:t>
                  </w:r>
                </w:p>
              </w:tc>
              <w:tc>
                <w:tcPr>
                  <w:tcBorders>
                    <w:bottom w:val="none" w:sz="0" w:space="0" w:color="000000"/>
                    <w:top w:val="none" w:sz="0" w:space="0" w:color="000000"/>
                    <w:left w:val="none" w:sz="0" w:space="0" w:color="000000"/>
                    <w:right w:val="none" w:sz="0" w:space="0" w:color="000000"/>
                  </w:tcBorders>
                  <w:shd w:val="clear" w:color="auto" w:fill="D3D3D3"/>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β</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[95%</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CI]</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Adj</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R</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vertAlign w:val="superscript"/>
                      <w:sz w:val="22"/>
                      <w:szCs w:val="22"/>
                      <w:color w:val="000000"/>
                    </w:rPr>
                    <w:t xml:space="preserve">2</w:t>
                  </w:r>
                </w:p>
              </w:tc>
            </w:tr>
            <w:tr>
              <w:trPr>
                <w:trHeight w:val="577" w:hRule="auto"/>
              </w:trPr>
              body 2
              <w:tc>
                <w:tcPr>
                  <w:gridSpan w:val="6"/>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CBF</w:t>
                  </w:r>
                </w:p>
              </w:tc>
            </w:tr>
            <w:tr>
              <w:trPr>
                <w:trHeight w:val="607" w:hRule="auto"/>
              </w:trPr>
              body 3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CGM</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0.05</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[-0.31</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to</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0.41]</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0.02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0.2</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[0.05</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to</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0.36]</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0.34</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0.13</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[-0.14</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to</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0.4]</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0.08</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10.27</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[2.17</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to</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18.37]</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0.34</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-0.15</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[-0.29</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to</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-0.02]</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0.28</w:t>
                  </w:r>
                </w:p>
              </w:tc>
            </w:tr>
            <w:tr>
              <w:trPr>
                <w:trHeight w:val="607" w:hRule="auto"/>
              </w:trPr>
              body 4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WM</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0.08</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[-0.17</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to</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0.32]</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0.13</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0.15</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[0.05</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to</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0.26]</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0.44</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0.07</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[-0.12</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to</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0.26]</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0.14</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6.7</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[0.86</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to</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12.55]</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0.36</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-0.1</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[-0.19</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to</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0.3</w:t>
                  </w:r>
                </w:p>
              </w:tc>
            </w:tr>
            <w:tr>
              <w:trPr>
                <w:trHeight w:val="607" w:hRule="auto"/>
              </w:trPr>
              body 5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DGM</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-0.05</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[-0.59</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to</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0.5]</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0.06</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0.28</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[0.02</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to</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0.53]</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0.3</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0.16</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[-0.26</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to</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0.57]</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15.82</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[3.51</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to</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28.13]</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0.37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-0.23</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[-0.44</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to</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-0.03]</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0.32</w:t>
                  </w:r>
                </w:p>
              </w:tc>
            </w:tr>
            <w:tr>
              <w:trPr>
                <w:trHeight w:val="607" w:hRule="auto"/>
              </w:trPr>
              body 6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Cereb</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0.18</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[-0.5</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to</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0.87]</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0.07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0.43</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[0.14</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to</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0.72]</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0.44</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0.21</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[-0.31</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to</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0.73]</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0.09</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18.81</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[2.98</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to</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34.64]</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0.33</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-0.26</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[-0.53</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to</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0.01]</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0.26</w:t>
                  </w:r>
                </w:p>
              </w:tc>
            </w:tr>
            <w:tr>
              <w:trPr>
                <w:trHeight w:val="607" w:hRule="auto"/>
              </w:trPr>
              body 7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BS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0.17</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[-0.75</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to</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1.09]</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0.05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0.59</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[0.2</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to</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0.97]</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0.44</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0.21</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[-0.49</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to</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0.92]</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0.06</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25.22</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[3.9</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to</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46.53]</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0.32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-0.36</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[-0.72</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to</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0.26</w:t>
                  </w:r>
                </w:p>
              </w:tc>
            </w:tr>
            <w:tr>
              <w:trPr>
                <w:trHeight w:val="607" w:hRule="auto"/>
              </w:trPr>
              body 8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H&amp;A</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0.05</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[-0.53</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to</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0.63]</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0.02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0.33</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[0.08</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to</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0.59]</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0.35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0.13</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[-0.31</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to</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0.57]</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0.04</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16.73</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[3.73</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to</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29.73]</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0.34</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-0.25</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[-0.47</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to</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-0.03]</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0.29</w:t>
                  </w:r>
                </w:p>
              </w:tc>
            </w:tr>
            <w:tr>
              <w:trPr>
                <w:trHeight w:val="577" w:hRule="auto"/>
              </w:trPr>
              body 9
              <w:tc>
                <w:tcPr>
                  <w:gridSpan w:val="6"/>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CMRO</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vertAlign w:val="subscript"/>
                      <w:sz w:val="22"/>
                      <w:szCs w:val="22"/>
                      <w:color w:val="000000"/>
                    </w:rPr>
                    <w:t xml:space="preserve">2</w:t>
                  </w:r>
                </w:p>
              </w:tc>
            </w:tr>
            <w:tr>
              <w:trPr>
                <w:trHeight w:val="607" w:hRule="auto"/>
              </w:trPr>
              body10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CGM</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0.04</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[-0.68</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to</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0.77]</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0.04</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0.31</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[-0.04</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to</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0.66]</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0.22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0.25</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[-0.29</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to</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0.79]</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23.31</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[8.19</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to</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38.44]</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0.44</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-0.36</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[-0.62</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to</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-0.11]</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0.41</w:t>
                  </w:r>
                </w:p>
              </w:tc>
            </w:tr>
            <w:tr>
              <w:trPr>
                <w:trHeight w:val="607" w:hRule="auto"/>
              </w:trPr>
              body11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WM</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0.13</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[-0.39</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to</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0.64]</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0.14</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0.24</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[-0.01</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to</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0.48]</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0.31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0.15</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[-0.24</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to</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0.54]</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0.16</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15.68</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[4.38</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to</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26.98]</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0.44</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-0.36</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[-0.62</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to</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-0.11]</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0.41</w:t>
                  </w:r>
                </w:p>
              </w:tc>
            </w:tr>
            <w:tr>
              <w:trPr>
                <w:trHeight w:val="607" w:hRule="auto"/>
              </w:trPr>
              body12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DGM</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-0.19</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[-1.27</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to</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0.89]</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0.09</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0.41</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[-0.13</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to</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0.95]</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0.22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0.3</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[-0.52</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to</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1.12]</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0.12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34.74</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[11.97</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to</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57.5]</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0.46</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-0.54</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[-0.92</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to</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-0.16]</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0.43</w:t>
                  </w:r>
                </w:p>
              </w:tc>
            </w:tr>
            <w:tr>
              <w:trPr>
                <w:trHeight w:val="607" w:hRule="auto"/>
              </w:trPr>
              body13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Cereb</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0.27</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[-1.03</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to</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1.56]</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0.7</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[0.11</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to</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1.29]</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0.36</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0.39</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[-0.59</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to</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1.38]</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0.13</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40.71</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[12.88</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to</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68.54]</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0.45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-0.6</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[-1.08</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to</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-0.12]</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0.39</w:t>
                  </w:r>
                </w:p>
              </w:tc>
            </w:tr>
            <w:tr>
              <w:trPr>
                <w:trHeight w:val="607" w:hRule="auto"/>
              </w:trPr>
              body14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BS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0.2</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[-1.55</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to</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1.96]</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0.07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0.96</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[0.17</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to</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1.75]</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0.36</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0.4</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[-0.95</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to</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1.74]</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0.09</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54.63</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[16.85</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to</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92.4]</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0.43</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-0.82</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[-1.46</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to</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-0.18]</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0.38</w:t>
                  </w:r>
                </w:p>
              </w:tc>
            </w:tr>
            <w:tr>
              <w:trPr>
                <w:trHeight w:val="607" w:hRule="auto"/>
              </w:trPr>
              body15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H&amp;A</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[-1.15</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to</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1.15]</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0.04</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0.52</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[-0.03</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to</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1.07]</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0.24</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0.25</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[-0.63</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to</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1.13]</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0.06</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37.23</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[13.28</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to</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61.17]</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0.44</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-0.58</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[-0.98</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to</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-0.17]</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0.41</w:t>
                  </w:r>
                </w:p>
              </w:tc>
            </w:tr>
            <w:tr>
              <w:trPr>
                <w:trHeight w:val="607" w:hRule="auto"/>
              </w:trPr>
              body16
              <w:tc>
                <w:tcPr>
                  <w:gridSpan w:val="6"/>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CSvO</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vertAlign w:val="subscript"/>
                      <w:sz w:val="22"/>
                      <w:szCs w:val="22"/>
                      <w:color w:val="000000"/>
                    </w:rPr>
                    <w:t xml:space="preserve">2</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w:t>
                  </w:r>
                </w:p>
              </w:tc>
            </w:tr>
            <w:tr>
              <w:trPr>
                <w:trHeight w:val="607" w:hRule="auto"/>
              </w:trPr>
              body17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Wholebrain</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-0.16</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[-0.51</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to</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0.2]</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0.06</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[-0.14</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to</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0.25]</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-0.13</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-0.06</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[-0.34</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to</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0.22]</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-0.15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-0.68</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[-10.72</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to</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9.36]</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-0.16</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-0.02</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[-0.19</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to</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0.14]</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-0.15</w:t>
                  </w:r>
                </w:p>
              </w:tc>
            </w:tr>
            <w:tr>
              <w:trPr>
                <w:trHeight w:val="607" w:hRule="auto"/>
              </w:trPr>
              body18
              <w:tc>
                <w:tcPr>
                  <w:gridSpan w:val="6"/>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CSaO</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vertAlign w:val="subscript"/>
                      <w:sz w:val="22"/>
                      <w:szCs w:val="22"/>
                      <w:color w:val="000000"/>
                    </w:rPr>
                    <w:t xml:space="preserve">2</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w:t>
                  </w:r>
                </w:p>
              </w:tc>
            </w:tr>
            <w:tr>
              <w:trPr>
                <w:trHeight w:val="607" w:hRule="auto"/>
              </w:trPr>
              body19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n/a</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-0.05</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[-0.18</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to</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0.08]</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0.06</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-0.06</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[-0.12</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to</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0.23</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0.02</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[-0.08</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to</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0.12]</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0.03</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0.34</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[-3.23</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to</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3.91]</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0.02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-0.01</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[-0.07</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to</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0.05]</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0.02</w:t>
                  </w:r>
                </w:p>
              </w:tc>
            </w:tr>
            <w:tr>
              <w:trPr>
                <w:trHeight w:val="607" w:hRule="auto"/>
              </w:trPr>
              body20
              <w:tc>
                <w:tcPr>
                  <w:gridSpan w:val="6"/>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OEF</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w:t>
                  </w:r>
                </w:p>
              </w:tc>
            </w:tr>
            <w:tr>
              <w:trPr>
                <w:trHeight w:val="607" w:hRule="auto"/>
              </w:trPr>
              body21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Wholebrain</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0.13</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[-0.26</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to</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0.52]</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-0.14</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-0.1</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[-0.31</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to</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0.11]</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0.07</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[-0.23</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to</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0.38]</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-0.15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0.83</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[-10.03</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to</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11.68]</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-0.17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0.02</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[-0.16</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to</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0.19]</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-0.17</w:t>
                  </w:r>
                </w:p>
              </w:tc>
            </w:tr>
            <w:tr>
              <w:trPr>
                <w:trHeight w:val="607" w:hRule="auto"/>
              </w:trPr>
              body22
              <w:tc>
                <w:tcPr>
                  <w:gridSpan w:val="6"/>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Hct</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w:t>
                  </w:r>
                </w:p>
              </w:tc>
            </w:tr>
            <w:tr>
              <w:trPr>
                <w:trHeight w:val="607" w:hRule="auto"/>
              </w:trPr>
              body23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n/a</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-0.19</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[-0.49</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to</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0.12]</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-0.07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-0.02</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[-0.2</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to</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0.15]</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-0.18</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-0.05</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[-0.3</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to</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0.19]</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-0.17</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2.35</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[-6.48</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to</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11.17]</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-0.16</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-0.09</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[-0.23</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to</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0.05]</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-0.05</w:t>
                  </w:r>
                </w:p>
              </w:tc>
            </w:tr>
            <w:tr>
              <w:trPr>
                <w:trHeight w:val="360" w:hRule="auto"/>
              </w:trPr>
              footer 1
              <w:tc>
                <w:tcPr>
                  <w:gridSpan w:val="6"/>
                  <w:tcBorders>
                    <w:bottom w:val="none" w:sz="0" w:space="0" w:color="FFFFFF"/>
                    <w:top w:val="none" w:sz="0" w:space="0" w:color="000000"/>
                    <w:left w:val="none" w:sz="0" w:space="0" w:color="FFFFFF"/>
                    <w:right w:val="none" w:sz="0" w:space="0" w:color="FFFFFF"/>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vertAlign w:val="superscript"/>
                      <w:sz w:val="22"/>
                      <w:szCs w:val="22"/>
                      <w:color w:val="000000"/>
                    </w:rPr>
                    <w:t xml:space="preserve"/>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CGM = cortical grey matter; WM = white matter; DGM = deep grey matter; BS = brainstem; Cereb = cerebellum; H&amp;A = hippocampus and amygdala.</w:t>
                  </w:r>
                </w:p>
              </w:tc>
            </w:tr>
          </w:tbl>
          <w:bookmarkEnd w:id="72"/>
        </w:tc>
      </w:tr>
    </w:tbl>
    <w:bookmarkEnd w:id="73"/>
    <w:bookmarkStart w:id="78" w:name="discussion"/>
    <w:p>
      <w:pPr>
        <w:pStyle w:val="Heading1"/>
      </w:pPr>
      <w:r>
        <w:t xml:space="preserve">Discussion</w:t>
      </w:r>
    </w:p>
    <w:p>
      <w:pPr>
        <w:pStyle w:val="FirstParagraph"/>
      </w:pPr>
      <w:r>
        <w:t xml:space="preserve">We presented the initial results of a novel, non-invasive MRI method and analysis pipeline to evaluate CSvO</w:t>
      </w:r>
      <w:r>
        <w:rPr>
          <w:vertAlign w:val="subscript"/>
        </w:rPr>
        <w:t xml:space="preserve">2</w:t>
      </w:r>
      <w:r>
        <w:t xml:space="preserve">, OEF and CMRO</w:t>
      </w:r>
      <w:r>
        <w:rPr>
          <w:vertAlign w:val="subscript"/>
        </w:rPr>
        <w:t xml:space="preserve">2</w:t>
      </w:r>
      <w:r>
        <w:t xml:space="preserve"> </w:t>
      </w:r>
      <w:r>
        <w:t xml:space="preserve">in preterm neonates. The values we found agreed well with earlier reported reference values. In addition, our technique allowed us to examined the effects of various forms of respiratory support on CBF and CMRO</w:t>
      </w:r>
      <w:r>
        <w:rPr>
          <w:vertAlign w:val="subscript"/>
        </w:rPr>
        <w:t xml:space="preserve">2</w:t>
      </w:r>
      <w:r>
        <w:t xml:space="preserve"> </w:t>
      </w:r>
      <w:r>
        <w:t xml:space="preserve">in neonates born very preterm. We found that the proportion of days on respiratory support was positively associated with both CBF and CMRO</w:t>
      </w:r>
      <w:r>
        <w:rPr>
          <w:vertAlign w:val="subscript"/>
        </w:rPr>
        <w:t xml:space="preserve">2</w:t>
      </w:r>
      <w:r>
        <w:t xml:space="preserve"> </w:t>
      </w:r>
      <w:r>
        <w:t xml:space="preserve">in all brain regions, a negative association was found for both CBF (some brain regions) and CMRO</w:t>
      </w:r>
      <w:r>
        <w:rPr>
          <w:vertAlign w:val="subscript"/>
        </w:rPr>
        <w:t xml:space="preserve">2</w:t>
      </w:r>
      <w:r>
        <w:t xml:space="preserve"> </w:t>
      </w:r>
      <w:r>
        <w:t xml:space="preserve">(all brain regions) with days in room air, and non-invasive ventilation showed a positive association with CBF in all regions, and a positive association with CMRO</w:t>
      </w:r>
      <w:r>
        <w:rPr>
          <w:vertAlign w:val="subscript"/>
        </w:rPr>
        <w:t xml:space="preserve">2</w:t>
      </w:r>
      <w:r>
        <w:t xml:space="preserve"> </w:t>
      </w:r>
      <w:r>
        <w:t xml:space="preserve">in the brainstem and cerebellum.</w:t>
      </w:r>
    </w:p>
    <w:bookmarkStart w:id="75" w:name="Xc47145ccf2710a979c181cc3b6c7c383be646b2"/>
    <w:p>
      <w:pPr>
        <w:pStyle w:val="Heading2"/>
      </w:pPr>
      <w:r>
        <w:t xml:space="preserve">Comparison of MRI methods with previous literature</w:t>
      </w:r>
    </w:p>
    <w:p>
      <w:pPr>
        <w:pStyle w:val="FirstParagraph"/>
      </w:pPr>
      <w:r>
        <w:t xml:space="preserve">The results from previous neonatal studies are summarized in</w:t>
      </w:r>
      <w:r>
        <w:t xml:space="preserve"> </w:t>
      </w:r>
      <w:hyperlink w:anchor="tbl-litvalues">
        <w:r>
          <w:rPr>
            <w:rStyle w:val="InternetLink"/>
          </w:rPr>
          <w:t xml:space="preserve">Table 4</w:t>
        </w:r>
      </w:hyperlink>
      <w:r>
        <w:t xml:space="preserve">. The global CMRO</w:t>
      </w:r>
      <w:r>
        <w:rPr>
          <w:vertAlign w:val="subscript"/>
        </w:rPr>
        <w:t xml:space="preserve">2</w:t>
      </w:r>
      <w:r>
        <w:t xml:space="preserve">, CBF, OEF and CSvO</w:t>
      </w:r>
      <w:r>
        <w:rPr>
          <w:vertAlign w:val="subscript"/>
        </w:rPr>
        <w:t xml:space="preserve">2</w:t>
      </w:r>
      <w:r>
        <w:t xml:space="preserve"> </w:t>
      </w:r>
      <w:r>
        <w:t xml:space="preserve">values from this study align well with the literature from MRI, NIRS and PET studies reported for TEA infants.</w:t>
      </w:r>
    </w:p>
    <w:tbl>
      <w:tblPr>
        <w:tblStyle w:val="Table"/>
        <w:tblW w:type="pct" w:w="5000"/>
        <w:tblLayout w:type="fixed"/>
        <w:tblLook w:firstRow="0" w:lastRow="0" w:firstColumn="0" w:lastColumn="0" w:noHBand="0" w:noVBand="0" w:val="0000"/>
      </w:tblPr>
      <w:tblGrid>
        <w:gridCol w:w="7920"/>
      </w:tblGrid>
      <w:tr>
        <w:tc>
          <w:tcPr/>
          <w:bookmarkStart w:id="74" w:name="tbl-litvalues"/>
          <w:p>
            <w:pPr>
              <w:jc w:val="center"/>
            </w:pPr>
            <w:pPr>
              <w:jc w:val="left"/>
              <w:spacing w:before="200"/>
              <w:pStyle w:val="ImageCaption"/>
            </w:pPr>
            <w:r>
              <w:rPr>
                <w:b/>
                <w:bCs/>
              </w:rPr>
              <w:t xml:space="preserve">Table</w:t>
            </w:r>
            <w:r>
              <w:t xml:space="preserve"> 4</w:t>
            </w:r>
            <w:r>
              <w:rPr>
                <w:b/>
                <w:bCs/>
              </w:rPr>
              <w:t xml:space="preserve">.</w:t>
            </w:r>
            <w:r>
              <w:t xml:space="preserve"> </w:t>
            </w:r>
            <w:r>
              <w:rPr>
                <w:b/>
                <w:bCs/>
              </w:rPr>
              <w:t xml:space="preserve">Comparison of Oxygenation and Cerebral Hemodynamics Across Studies.</w:t>
            </w:r>
            <w:r>
              <w:t xml:space="preserve"> </w:t>
            </w:r>
            <w:r>
              <w:t xml:space="preserve">This table compares arterial and venous oxygenation, oxygen extraction fraction, cerebral blood flow, and cerebral metabolic rate of oxygen from the present study with findings from previous research</w:t>
            </w:r>
          </w:p>
          <w:tbl xmlns:w="http://schemas.openxmlformats.org/wordprocessingml/2006/main" xmlns:r="http://schemas.openxmlformats.org/officeDocument/2006/relationships" xmlns:w14="http://schemas.microsoft.com/office/word/2010/wordml" xmlns:wp="http://schemas.openxmlformats.org/drawingml/2006/wordprocessingDrawing" xmlns:a="http://schemas.openxmlformats.org/drawingml/2006/main" xmlns:pic="http://schemas.openxmlformats.org/drawingml/2006/picture">
            <w:tblPr>
              <w:tblLayout w:type="fixed"/>
              <w:jc w:val="center"/>
              <w:tblLook w:firstRow="1" w:lastRow="0" w:firstColumn="0" w:lastColumn="0" w:noHBand="0" w:noVBand="1"/>
            </w:tblPr>
            <w:tblGrid>
              <w:gridCol w:w="3344"/>
              <w:gridCol w:w="1349"/>
              <w:gridCol w:w="3471"/>
              <w:gridCol w:w="2018"/>
              <w:gridCol w:w="1641"/>
              <w:gridCol w:w="1715"/>
              <w:gridCol w:w="1912"/>
              <w:gridCol w:w="2776"/>
              <w:gridCol w:w="3358"/>
            </w:tblGrid>
            <w:tr>
              <w:trPr>
                <w:trHeight w:val="625" w:hRule="auto"/>
                <w:tblHeader/>
              </w:trPr>
              header 1
              <w:tc>
                <w:tcPr>
                  <w:tcBorders>
                    <w:bottom w:val="none" w:sz="0" w:space="0" w:color="000000"/>
                    <w:top w:val="none" w:sz="0" w:space="0" w:color="000000"/>
                    <w:left w:val="none" w:sz="0" w:space="0" w:color="000000"/>
                    <w:right w:val="none" w:sz="0" w:space="0" w:color="000000"/>
                  </w:tcBorders>
                  <w:shd w:val="clear" w:color="auto" w:fill="D3D3D3"/>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Study</w:t>
                  </w:r>
                </w:p>
              </w:tc>
              <w:tc>
                <w:tcPr>
                  <w:tcBorders>
                    <w:bottom w:val="none" w:sz="0" w:space="0" w:color="000000"/>
                    <w:top w:val="none" w:sz="0" w:space="0" w:color="000000"/>
                    <w:left w:val="none" w:sz="0" w:space="0" w:color="000000"/>
                    <w:right w:val="none" w:sz="0" w:space="0" w:color="000000"/>
                  </w:tcBorders>
                  <w:shd w:val="clear" w:color="auto" w:fill="D3D3D3"/>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Method</w:t>
                  </w:r>
                </w:p>
              </w:tc>
              <w:tc>
                <w:tcPr>
                  <w:tcBorders>
                    <w:bottom w:val="none" w:sz="0" w:space="0" w:color="000000"/>
                    <w:top w:val="none" w:sz="0" w:space="0" w:color="000000"/>
                    <w:left w:val="none" w:sz="0" w:space="0" w:color="000000"/>
                    <w:right w:val="none" w:sz="0" w:space="0" w:color="000000"/>
                  </w:tcBorders>
                  <w:shd w:val="clear" w:color="auto" w:fill="D3D3D3"/>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Number of Subjects</w:t>
                  </w:r>
                </w:p>
              </w:tc>
              <w:tc>
                <w:tcPr>
                  <w:tcBorders>
                    <w:bottom w:val="none" w:sz="0" w:space="0" w:color="000000"/>
                    <w:top w:val="none" w:sz="0" w:space="0" w:color="000000"/>
                    <w:left w:val="none" w:sz="0" w:space="0" w:color="000000"/>
                    <w:right w:val="none" w:sz="0" w:space="0" w:color="000000"/>
                  </w:tcBorders>
                  <w:shd w:val="clear" w:color="auto" w:fill="D3D3D3"/>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PMA (weeks)</w:t>
                  </w:r>
                </w:p>
              </w:tc>
              <w:tc>
                <w:tcPr>
                  <w:tcBorders>
                    <w:bottom w:val="none" w:sz="0" w:space="0" w:color="000000"/>
                    <w:top w:val="none" w:sz="0" w:space="0" w:color="000000"/>
                    <w:left w:val="none" w:sz="0" w:space="0" w:color="000000"/>
                    <w:right w:val="none" w:sz="0" w:space="0" w:color="000000"/>
                  </w:tcBorders>
                  <w:shd w:val="clear" w:color="auto" w:fill="D3D3D3"/>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CSaO</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vertAlign w:val="subscript"/>
                      <w:sz w:val="22"/>
                      <w:szCs w:val="22"/>
                      <w:color w:val="000000"/>
                    </w:rPr>
                    <w:t xml:space="preserve">2</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p>
              </w:tc>
              <w:tc>
                <w:tcPr>
                  <w:tcBorders>
                    <w:bottom w:val="none" w:sz="0" w:space="0" w:color="000000"/>
                    <w:top w:val="none" w:sz="0" w:space="0" w:color="000000"/>
                    <w:left w:val="none" w:sz="0" w:space="0" w:color="000000"/>
                    <w:right w:val="none" w:sz="0" w:space="0" w:color="000000"/>
                  </w:tcBorders>
                  <w:shd w:val="clear" w:color="auto" w:fill="D3D3D3"/>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CSvO</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vertAlign w:val="subscript"/>
                      <w:sz w:val="22"/>
                      <w:szCs w:val="22"/>
                      <w:color w:val="000000"/>
                    </w:rPr>
                    <w:t xml:space="preserve">2</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p>
              </w:tc>
              <w:tc>
                <w:tcPr>
                  <w:tcBorders>
                    <w:bottom w:val="none" w:sz="0" w:space="0" w:color="000000"/>
                    <w:top w:val="none" w:sz="0" w:space="0" w:color="000000"/>
                    <w:left w:val="none" w:sz="0" w:space="0" w:color="000000"/>
                    <w:right w:val="none" w:sz="0" w:space="0" w:color="000000"/>
                  </w:tcBorders>
                  <w:shd w:val="clear" w:color="auto" w:fill="D3D3D3"/>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OEF (%)</w:t>
                  </w:r>
                </w:p>
              </w:tc>
              <w:tc>
                <w:tcPr>
                  <w:tcBorders>
                    <w:bottom w:val="none" w:sz="0" w:space="0" w:color="000000"/>
                    <w:top w:val="none" w:sz="0" w:space="0" w:color="000000"/>
                    <w:left w:val="none" w:sz="0" w:space="0" w:color="000000"/>
                    <w:right w:val="none" w:sz="0" w:space="0" w:color="000000"/>
                  </w:tcBorders>
                  <w:shd w:val="clear" w:color="auto" w:fill="D3D3D3"/>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CBF (mL/100g/min)</w:t>
                  </w:r>
                </w:p>
              </w:tc>
              <w:tc>
                <w:tcPr>
                  <w:tcBorders>
                    <w:bottom w:val="none" w:sz="0" w:space="0" w:color="000000"/>
                    <w:top w:val="none" w:sz="0" w:space="0" w:color="000000"/>
                    <w:left w:val="none" w:sz="0" w:space="0" w:color="000000"/>
                    <w:right w:val="none" w:sz="0" w:space="0" w:color="000000"/>
                  </w:tcBorders>
                  <w:shd w:val="clear" w:color="auto" w:fill="D3D3D3"/>
                  <w:tcMar>
                    <w:top w:w="0" w:type="dxa"/>
                    <w:bottom w:w="0" w:type="dxa"/>
                    <w:left w:w="0" w:type="dxa"/>
                    <w:right w:w="0" w:type="dxa"/>
                  </w:tcMar>
                  <w:vAlign w:val="center"/>
                </w:tcPr>
                <w:p>
                  <w:pPr>
                    <w:pStyle w:val="Normal"/>
                    <w:jc w:val="center"/>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CMRO</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vertAlign w:val="subscript"/>
                      <w:sz w:val="22"/>
                      <w:szCs w:val="22"/>
                      <w:color w:val="000000"/>
                    </w:rPr>
                    <w:t xml:space="preserve">2</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(µmol/100g/min)</w:t>
                  </w:r>
                </w:p>
              </w:tc>
            </w:tr>
            <w:tr>
              <w:trPr>
                <w:trHeight w:val="624" w:hRule="auto"/>
              </w:trPr>
              body 1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This</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true"/>
                      <w:u w:val="none"/>
                      <w:sz w:val="22"/>
                      <w:szCs w:val="22"/>
                      <w:color w:val="000000"/>
                    </w:rPr>
                    <w:t xml:space="preserve">study</w:t>
                  </w:r>
                </w:p>
              </w:tc>
              <w:tc>
                <w:tcPr>
                  <w:tcBorders>
                    <w:bottom w:val="none" w:sz="0" w:space="0" w:color="000000"/>
                    <w:top w:val="none" w:sz="0" w:space="0" w:color="000000"/>
                    <w:left w:val="none" w:sz="0" w:space="0" w:color="000000"/>
                    <w:right w:val="none" w:sz="0" w:space="0" w:color="000000"/>
                  </w:tcBorders>
                  <w:shd w:val="clear" w:color="auto" w:fill="F2F2F2"/>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MRI</w:t>
                  </w:r>
                </w:p>
              </w:tc>
              <w:tc>
                <w:tcPr>
                  <w:tcBorders>
                    <w:bottom w:val="none" w:sz="0" w:space="0" w:color="000000"/>
                    <w:top w:val="none" w:sz="0" w:space="0" w:color="000000"/>
                    <w:left w:val="none" w:sz="0" w:space="0" w:color="000000"/>
                    <w:right w:val="none" w:sz="0" w:space="0" w:color="000000"/>
                  </w:tcBorders>
                  <w:shd w:val="clear" w:color="auto" w:fill="F2F2F2"/>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19</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preterm</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at</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term</w:t>
                  </w:r>
                </w:p>
              </w:tc>
              <w:tc>
                <w:tcPr>
                  <w:tcBorders>
                    <w:bottom w:val="none" w:sz="0" w:space="0" w:color="000000"/>
                    <w:top w:val="none" w:sz="0" w:space="0" w:color="000000"/>
                    <w:left w:val="none" w:sz="0" w:space="0" w:color="000000"/>
                    <w:right w:val="none" w:sz="0" w:space="0" w:color="000000"/>
                  </w:tcBorders>
                  <w:shd w:val="clear" w:color="auto" w:fill="F2F2F2"/>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40.4</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1.4</w:t>
                  </w:r>
                </w:p>
              </w:tc>
              <w:tc>
                <w:tcPr>
                  <w:tcBorders>
                    <w:bottom w:val="none" w:sz="0" w:space="0" w:color="000000"/>
                    <w:top w:val="none" w:sz="0" w:space="0" w:color="000000"/>
                    <w:left w:val="none" w:sz="0" w:space="0" w:color="000000"/>
                    <w:right w:val="none" w:sz="0" w:space="0" w:color="000000"/>
                  </w:tcBorders>
                  <w:shd w:val="clear" w:color="auto" w:fill="F2F2F2"/>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98.3</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1.5</w:t>
                  </w:r>
                </w:p>
              </w:tc>
              <w:tc>
                <w:tcPr>
                  <w:tcBorders>
                    <w:bottom w:val="none" w:sz="0" w:space="0" w:color="000000"/>
                    <w:top w:val="none" w:sz="0" w:space="0" w:color="000000"/>
                    <w:left w:val="none" w:sz="0" w:space="0" w:color="000000"/>
                    <w:right w:val="none" w:sz="0" w:space="0" w:color="000000"/>
                  </w:tcBorders>
                  <w:shd w:val="clear" w:color="auto" w:fill="F2F2F2"/>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63.9</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4</w:t>
                  </w:r>
                </w:p>
              </w:tc>
              <w:tc>
                <w:tcPr>
                  <w:tcBorders>
                    <w:bottom w:val="none" w:sz="0" w:space="0" w:color="000000"/>
                    <w:top w:val="none" w:sz="0" w:space="0" w:color="000000"/>
                    <w:left w:val="none" w:sz="0" w:space="0" w:color="000000"/>
                    <w:right w:val="none" w:sz="0" w:space="0" w:color="000000"/>
                  </w:tcBorders>
                  <w:shd w:val="clear" w:color="auto" w:fill="F2F2F2"/>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34.9</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4.3</w:t>
                  </w:r>
                </w:p>
              </w:tc>
              <w:tc>
                <w:tcPr>
                  <w:tcBorders>
                    <w:bottom w:val="none" w:sz="0" w:space="0" w:color="000000"/>
                    <w:top w:val="none" w:sz="0" w:space="0" w:color="000000"/>
                    <w:left w:val="none" w:sz="0" w:space="0" w:color="000000"/>
                    <w:right w:val="none" w:sz="0" w:space="0" w:color="000000"/>
                  </w:tcBorders>
                  <w:shd w:val="clear" w:color="auto" w:fill="F2F2F2"/>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14.3</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4.2</w:t>
                  </w:r>
                </w:p>
              </w:tc>
              <w:tc>
                <w:tcPr>
                  <w:tcBorders>
                    <w:bottom w:val="none" w:sz="0" w:space="0" w:color="000000"/>
                    <w:top w:val="none" w:sz="0" w:space="0" w:color="000000"/>
                    <w:left w:val="none" w:sz="0" w:space="0" w:color="000000"/>
                    <w:right w:val="none" w:sz="0" w:space="0" w:color="000000"/>
                  </w:tcBorders>
                  <w:shd w:val="clear" w:color="auto" w:fill="F2F2F2"/>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29.5</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8.6</w:t>
                  </w:r>
                </w:p>
              </w:tc>
            </w:tr>
            <w:tr>
              <w:trPr>
                <w:trHeight w:val="607" w:hRule="auto"/>
              </w:trPr>
              body 2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Altman</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et</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al.,</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(1993)</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PET</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11</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HIE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and</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other</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conditions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35.1</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6.2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N/A</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21.6</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21.0</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16.6</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13.2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21.6</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21.1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21.4</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16.4</w:t>
                  </w:r>
                </w:p>
              </w:tc>
            </w:tr>
            <w:tr>
              <w:trPr>
                <w:trHeight w:val="620" w:hRule="auto"/>
              </w:trPr>
              body 3
              <w:tc>
                <w:tcPr>
                  <w:vMerge w:val="restart"/>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De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Vis</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et</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al.,</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(2014)</w:t>
                  </w:r>
                </w:p>
              </w:tc>
              <w:tc>
                <w:tcPr>
                  <w:vMerge w:val="restart"/>
                  <w:tcBorders>
                    <w:bottom w:val="none" w:sz="0" w:space="0" w:color="000000"/>
                    <w:top w:val="none" w:sz="0" w:space="0" w:color="000000"/>
                    <w:left w:val="none" w:sz="0" w:space="0" w:color="000000"/>
                    <w:right w:val="none" w:sz="0" w:space="0" w:color="000000"/>
                  </w:tcBorders>
                  <w:shd w:val="clear" w:color="auto" w:fill="F2F2F2"/>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MRI</w:t>
                  </w:r>
                </w:p>
              </w:tc>
              <w:tc>
                <w:tcPr>
                  <w:tcBorders>
                    <w:bottom w:val="none" w:sz="0" w:space="0" w:color="000000"/>
                    <w:top w:val="none" w:sz="0" w:space="0" w:color="000000"/>
                    <w:left w:val="none" w:sz="0" w:space="0" w:color="000000"/>
                    <w:right w:val="none" w:sz="0" w:space="0" w:color="000000"/>
                  </w:tcBorders>
                  <w:shd w:val="clear" w:color="auto" w:fill="F2F2F2"/>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10</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preterm</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at</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term</w:t>
                  </w:r>
                </w:p>
              </w:tc>
              <w:tc>
                <w:tcPr>
                  <w:tcBorders>
                    <w:bottom w:val="none" w:sz="0" w:space="0" w:color="000000"/>
                    <w:top w:val="none" w:sz="0" w:space="0" w:color="000000"/>
                    <w:left w:val="none" w:sz="0" w:space="0" w:color="000000"/>
                    <w:right w:val="none" w:sz="0" w:space="0" w:color="000000"/>
                  </w:tcBorders>
                  <w:shd w:val="clear" w:color="auto" w:fill="F2F2F2"/>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39</w:t>
                  </w:r>
                </w:p>
              </w:tc>
              <w:tc>
                <w:tcPr>
                  <w:tcBorders>
                    <w:bottom w:val="none" w:sz="0" w:space="0" w:color="000000"/>
                    <w:top w:val="none" w:sz="0" w:space="0" w:color="000000"/>
                    <w:left w:val="none" w:sz="0" w:space="0" w:color="000000"/>
                    <w:right w:val="none" w:sz="0" w:space="0" w:color="000000"/>
                  </w:tcBorders>
                  <w:shd w:val="clear" w:color="auto" w:fill="F2F2F2"/>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97</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1</w:t>
                  </w:r>
                </w:p>
              </w:tc>
              <w:tc>
                <w:tcPr>
                  <w:tcBorders>
                    <w:bottom w:val="none" w:sz="0" w:space="0" w:color="000000"/>
                    <w:top w:val="none" w:sz="0" w:space="0" w:color="000000"/>
                    <w:left w:val="none" w:sz="0" w:space="0" w:color="000000"/>
                    <w:right w:val="none" w:sz="0" w:space="0" w:color="000000"/>
                  </w:tcBorders>
                  <w:shd w:val="clear" w:color="auto" w:fill="F2F2F2"/>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52</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12</w:t>
                  </w:r>
                </w:p>
              </w:tc>
              <w:tc>
                <w:tcPr>
                  <w:tcBorders>
                    <w:bottom w:val="none" w:sz="0" w:space="0" w:color="000000"/>
                    <w:top w:val="none" w:sz="0" w:space="0" w:color="000000"/>
                    <w:left w:val="none" w:sz="0" w:space="0" w:color="000000"/>
                    <w:right w:val="none" w:sz="0" w:space="0" w:color="000000"/>
                  </w:tcBorders>
                  <w:shd w:val="clear" w:color="auto" w:fill="F2F2F2"/>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49</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12</w:t>
                  </w:r>
                </w:p>
              </w:tc>
              <w:tc>
                <w:tcPr>
                  <w:tcBorders>
                    <w:bottom w:val="none" w:sz="0" w:space="0" w:color="000000"/>
                    <w:top w:val="none" w:sz="0" w:space="0" w:color="000000"/>
                    <w:left w:val="none" w:sz="0" w:space="0" w:color="000000"/>
                    <w:right w:val="none" w:sz="0" w:space="0" w:color="000000"/>
                  </w:tcBorders>
                  <w:shd w:val="clear" w:color="auto" w:fill="F2F2F2"/>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14</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3</w:t>
                  </w:r>
                </w:p>
              </w:tc>
              <w:tc>
                <w:tcPr>
                  <w:tcBorders>
                    <w:bottom w:val="none" w:sz="0" w:space="0" w:color="000000"/>
                    <w:top w:val="none" w:sz="0" w:space="0" w:color="000000"/>
                    <w:left w:val="none" w:sz="0" w:space="0" w:color="000000"/>
                    <w:right w:val="none" w:sz="0" w:space="0" w:color="000000"/>
                  </w:tcBorders>
                  <w:shd w:val="clear" w:color="auto" w:fill="F2F2F2"/>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30</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6</w:t>
                  </w:r>
                </w:p>
              </w:tc>
            </w:tr>
            <w:tr>
              <w:trPr>
                <w:trHeight w:val="577" w:hRule="auto"/>
              </w:trPr>
              body 4
              <w:tc>
                <w:tcPr>
                  <w:vMerge/>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p>
              </w:tc>
              <w:tc>
                <w:tcPr>
                  <w:vMerge/>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9</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HIE</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38</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96</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3</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65</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13</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32</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12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12</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4</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24</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12</w:t>
                  </w:r>
                </w:p>
              </w:tc>
            </w:tr>
            <w:tr>
              <w:trPr>
                <w:trHeight w:val="624" w:hRule="auto"/>
              </w:trPr>
              body 5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Liu</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et</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al.,</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(2014)</w:t>
                  </w:r>
                </w:p>
              </w:tc>
              <w:tc>
                <w:tcPr>
                  <w:tcBorders>
                    <w:bottom w:val="none" w:sz="0" w:space="0" w:color="000000"/>
                    <w:top w:val="none" w:sz="0" w:space="0" w:color="000000"/>
                    <w:left w:val="none" w:sz="0" w:space="0" w:color="000000"/>
                    <w:right w:val="none" w:sz="0" w:space="0" w:color="000000"/>
                  </w:tcBorders>
                  <w:shd w:val="clear" w:color="auto" w:fill="F2F2F2"/>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MRI</w:t>
                  </w:r>
                </w:p>
              </w:tc>
              <w:tc>
                <w:tcPr>
                  <w:tcBorders>
                    <w:bottom w:val="none" w:sz="0" w:space="0" w:color="000000"/>
                    <w:top w:val="none" w:sz="0" w:space="0" w:color="000000"/>
                    <w:left w:val="none" w:sz="0" w:space="0" w:color="000000"/>
                    <w:right w:val="none" w:sz="0" w:space="0" w:color="000000"/>
                  </w:tcBorders>
                  <w:shd w:val="clear" w:color="auto" w:fill="F2F2F2"/>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12</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healthy</w:t>
                  </w:r>
                </w:p>
              </w:tc>
              <w:tc>
                <w:tcPr>
                  <w:tcBorders>
                    <w:bottom w:val="none" w:sz="0" w:space="0" w:color="000000"/>
                    <w:top w:val="none" w:sz="0" w:space="0" w:color="000000"/>
                    <w:left w:val="none" w:sz="0" w:space="0" w:color="000000"/>
                    <w:right w:val="none" w:sz="0" w:space="0" w:color="000000"/>
                  </w:tcBorders>
                  <w:shd w:val="clear" w:color="auto" w:fill="F2F2F2"/>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37.4</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2.6</w:t>
                  </w:r>
                </w:p>
              </w:tc>
              <w:tc>
                <w:tcPr>
                  <w:tcBorders>
                    <w:bottom w:val="none" w:sz="0" w:space="0" w:color="000000"/>
                    <w:top w:val="none" w:sz="0" w:space="0" w:color="000000"/>
                    <w:left w:val="none" w:sz="0" w:space="0" w:color="000000"/>
                    <w:right w:val="none" w:sz="0" w:space="0" w:color="000000"/>
                  </w:tcBorders>
                  <w:shd w:val="clear" w:color="auto" w:fill="F2F2F2"/>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95.8</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2.2</w:t>
                  </w:r>
                </w:p>
              </w:tc>
              <w:tc>
                <w:tcPr>
                  <w:tcBorders>
                    <w:bottom w:val="none" w:sz="0" w:space="0" w:color="000000"/>
                    <w:top w:val="none" w:sz="0" w:space="0" w:color="000000"/>
                    <w:left w:val="none" w:sz="0" w:space="0" w:color="000000"/>
                    <w:right w:val="none" w:sz="0" w:space="0" w:color="000000"/>
                  </w:tcBorders>
                  <w:shd w:val="clear" w:color="auto" w:fill="F2F2F2"/>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62.6</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8.3</w:t>
                  </w:r>
                </w:p>
              </w:tc>
              <w:tc>
                <w:tcPr>
                  <w:tcBorders>
                    <w:bottom w:val="none" w:sz="0" w:space="0" w:color="000000"/>
                    <w:top w:val="none" w:sz="0" w:space="0" w:color="000000"/>
                    <w:left w:val="none" w:sz="0" w:space="0" w:color="000000"/>
                    <w:right w:val="none" w:sz="0" w:space="0" w:color="000000"/>
                  </w:tcBorders>
                  <w:shd w:val="clear" w:color="auto" w:fill="F2F2F2"/>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N/A</w:t>
                  </w:r>
                </w:p>
              </w:tc>
              <w:tc>
                <w:tcPr>
                  <w:tcBorders>
                    <w:bottom w:val="none" w:sz="0" w:space="0" w:color="000000"/>
                    <w:top w:val="none" w:sz="0" w:space="0" w:color="000000"/>
                    <w:left w:val="none" w:sz="0" w:space="0" w:color="000000"/>
                    <w:right w:val="none" w:sz="0" w:space="0" w:color="000000"/>
                  </w:tcBorders>
                  <w:shd w:val="clear" w:color="auto" w:fill="F2F2F2"/>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13.4</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4.2</w:t>
                  </w:r>
                </w:p>
              </w:tc>
              <w:tc>
                <w:tcPr>
                  <w:tcBorders>
                    <w:bottom w:val="none" w:sz="0" w:space="0" w:color="000000"/>
                    <w:top w:val="none" w:sz="0" w:space="0" w:color="000000"/>
                    <w:left w:val="none" w:sz="0" w:space="0" w:color="000000"/>
                    <w:right w:val="none" w:sz="0" w:space="0" w:color="000000"/>
                  </w:tcBorders>
                  <w:shd w:val="clear" w:color="auto" w:fill="F2F2F2"/>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38.3</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17.7</w:t>
                  </w:r>
                </w:p>
              </w:tc>
            </w:tr>
            <w:tr>
              <w:trPr>
                <w:trHeight w:val="624" w:hRule="auto"/>
              </w:trPr>
              body 6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Elwell</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et</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al.,</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(2005)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NIRS</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9</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ventilatory</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support</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29.2</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5.3</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N/A</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N/A</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N/A</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N/A</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45.9</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12.3</w:t>
                  </w:r>
                </w:p>
              </w:tc>
            </w:tr>
            <w:tr>
              <w:trPr>
                <w:trHeight w:val="624" w:hRule="auto"/>
              </w:trPr>
              body 7
              <w:tc>
                <w:tcPr>
                  <w:vMerge w:val="restart"/>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Skov</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et</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al.,</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(1993)</w:t>
                  </w:r>
                </w:p>
              </w:tc>
              <w:tc>
                <w:tcPr>
                  <w:vMerge w:val="restart"/>
                  <w:tcBorders>
                    <w:bottom w:val="none" w:sz="0" w:space="0" w:color="000000"/>
                    <w:top w:val="none" w:sz="0" w:space="0" w:color="000000"/>
                    <w:left w:val="none" w:sz="0" w:space="0" w:color="000000"/>
                    <w:right w:val="none" w:sz="0" w:space="0" w:color="000000"/>
                  </w:tcBorders>
                  <w:shd w:val="clear" w:color="auto" w:fill="F2F2F2"/>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NIRS</w:t>
                  </w:r>
                </w:p>
              </w:tc>
              <w:tc>
                <w:tcPr>
                  <w:tcBorders>
                    <w:bottom w:val="none" w:sz="0" w:space="0" w:color="000000"/>
                    <w:top w:val="none" w:sz="0" w:space="0" w:color="000000"/>
                    <w:left w:val="none" w:sz="0" w:space="0" w:color="000000"/>
                    <w:right w:val="none" w:sz="0" w:space="0" w:color="000000"/>
                  </w:tcBorders>
                  <w:shd w:val="clear" w:color="auto" w:fill="F2F2F2"/>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10</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asphyxiated</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(full</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term)</w:t>
                  </w:r>
                </w:p>
              </w:tc>
              <w:tc>
                <w:tcPr>
                  <w:tcBorders>
                    <w:bottom w:val="none" w:sz="0" w:space="0" w:color="000000"/>
                    <w:top w:val="none" w:sz="0" w:space="0" w:color="000000"/>
                    <w:left w:val="none" w:sz="0" w:space="0" w:color="000000"/>
                    <w:right w:val="none" w:sz="0" w:space="0" w:color="000000"/>
                  </w:tcBorders>
                  <w:shd w:val="clear" w:color="auto" w:fill="F2F2F2"/>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38.8</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1.4</w:t>
                  </w:r>
                </w:p>
              </w:tc>
              <w:tc>
                <w:tcPr>
                  <w:tcBorders>
                    <w:bottom w:val="none" w:sz="0" w:space="0" w:color="000000"/>
                    <w:top w:val="none" w:sz="0" w:space="0" w:color="000000"/>
                    <w:left w:val="none" w:sz="0" w:space="0" w:color="000000"/>
                    <w:right w:val="none" w:sz="0" w:space="0" w:color="000000"/>
                  </w:tcBorders>
                  <w:shd w:val="clear" w:color="auto" w:fill="F2F2F2"/>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94</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7</w:t>
                  </w:r>
                </w:p>
              </w:tc>
              <w:tc>
                <w:tcPr>
                  <w:tcBorders>
                    <w:bottom w:val="none" w:sz="0" w:space="0" w:color="000000"/>
                    <w:top w:val="none" w:sz="0" w:space="0" w:color="000000"/>
                    <w:left w:val="none" w:sz="0" w:space="0" w:color="000000"/>
                    <w:right w:val="none" w:sz="0" w:space="0" w:color="000000"/>
                  </w:tcBorders>
                  <w:shd w:val="clear" w:color="auto" w:fill="F2F2F2"/>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67.3</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9.4</w:t>
                  </w:r>
                </w:p>
              </w:tc>
              <w:tc>
                <w:tcPr>
                  <w:tcBorders>
                    <w:bottom w:val="none" w:sz="0" w:space="0" w:color="000000"/>
                    <w:top w:val="none" w:sz="0" w:space="0" w:color="000000"/>
                    <w:left w:val="none" w:sz="0" w:space="0" w:color="000000"/>
                    <w:right w:val="none" w:sz="0" w:space="0" w:color="000000"/>
                  </w:tcBorders>
                  <w:shd w:val="clear" w:color="auto" w:fill="F2F2F2"/>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28.4</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0.3</w:t>
                  </w:r>
                </w:p>
              </w:tc>
              <w:tc>
                <w:tcPr>
                  <w:tcBorders>
                    <w:bottom w:val="none" w:sz="0" w:space="0" w:color="000000"/>
                    <w:top w:val="none" w:sz="0" w:space="0" w:color="000000"/>
                    <w:left w:val="none" w:sz="0" w:space="0" w:color="000000"/>
                    <w:right w:val="none" w:sz="0" w:space="0" w:color="000000"/>
                  </w:tcBorders>
                  <w:shd w:val="clear" w:color="auto" w:fill="F2F2F2"/>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26.5</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17.9</w:t>
                  </w:r>
                </w:p>
              </w:tc>
              <w:tc>
                <w:tcPr>
                  <w:tcBorders>
                    <w:bottom w:val="none" w:sz="0" w:space="0" w:color="000000"/>
                    <w:top w:val="none" w:sz="0" w:space="0" w:color="000000"/>
                    <w:left w:val="none" w:sz="0" w:space="0" w:color="000000"/>
                    <w:right w:val="none" w:sz="0" w:space="0" w:color="000000"/>
                  </w:tcBorders>
                  <w:shd w:val="clear" w:color="auto" w:fill="F2F2F2"/>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62.6</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35.8</w:t>
                  </w:r>
                </w:p>
              </w:tc>
            </w:tr>
            <w:tr>
              <w:trPr>
                <w:trHeight w:val="623" w:hRule="auto"/>
              </w:trPr>
              body 8
              <w:tc>
                <w:tcPr>
                  <w:vMerge/>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p>
              </w:tc>
              <w:tc>
                <w:tcPr>
                  <w:vMerge/>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22</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RDS</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(preterm)</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29.8</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2.6</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96.5</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5</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53.4</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15.4</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44.6</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2.1</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11.9</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5.2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44.7</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17.9</w:t>
                  </w:r>
                </w:p>
              </w:tc>
            </w:tr>
            <w:tr>
              <w:trPr>
                <w:trHeight w:val="624" w:hRule="auto"/>
              </w:trPr>
              body 9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Yoxall</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&amp;</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Weindling,</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(1998)</w:t>
                  </w:r>
                </w:p>
              </w:tc>
              <w:tc>
                <w:tcPr>
                  <w:tcBorders>
                    <w:bottom w:val="none" w:sz="0" w:space="0" w:color="000000"/>
                    <w:top w:val="none" w:sz="0" w:space="0" w:color="000000"/>
                    <w:left w:val="none" w:sz="0" w:space="0" w:color="000000"/>
                    <w:right w:val="none" w:sz="0" w:space="0" w:color="000000"/>
                  </w:tcBorders>
                  <w:shd w:val="clear" w:color="auto" w:fill="F2F2F2"/>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NIRS</w:t>
                  </w:r>
                </w:p>
              </w:tc>
              <w:tc>
                <w:tcPr>
                  <w:tcBorders>
                    <w:bottom w:val="none" w:sz="0" w:space="0" w:color="000000"/>
                    <w:top w:val="none" w:sz="0" w:space="0" w:color="000000"/>
                    <w:left w:val="none" w:sz="0" w:space="0" w:color="000000"/>
                    <w:right w:val="none" w:sz="0" w:space="0" w:color="000000"/>
                  </w:tcBorders>
                  <w:shd w:val="clear" w:color="auto" w:fill="F2F2F2"/>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9</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ventilatory</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support</w:t>
                  </w:r>
                </w:p>
              </w:tc>
              <w:tc>
                <w:tcPr>
                  <w:tcBorders>
                    <w:bottom w:val="none" w:sz="0" w:space="0" w:color="000000"/>
                    <w:top w:val="none" w:sz="0" w:space="0" w:color="000000"/>
                    <w:left w:val="none" w:sz="0" w:space="0" w:color="000000"/>
                    <w:right w:val="none" w:sz="0" w:space="0" w:color="000000"/>
                  </w:tcBorders>
                  <w:shd w:val="clear" w:color="auto" w:fill="F2F2F2"/>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23-37</w:t>
                  </w:r>
                </w:p>
              </w:tc>
              <w:tc>
                <w:tcPr>
                  <w:tcBorders>
                    <w:bottom w:val="none" w:sz="0" w:space="0" w:color="000000"/>
                    <w:top w:val="none" w:sz="0" w:space="0" w:color="000000"/>
                    <w:left w:val="none" w:sz="0" w:space="0" w:color="000000"/>
                    <w:right w:val="none" w:sz="0" w:space="0" w:color="000000"/>
                  </w:tcBorders>
                  <w:shd w:val="clear" w:color="auto" w:fill="F2F2F2"/>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N/A</w:t>
                  </w:r>
                </w:p>
              </w:tc>
              <w:tc>
                <w:tcPr>
                  <w:tcBorders>
                    <w:bottom w:val="none" w:sz="0" w:space="0" w:color="000000"/>
                    <w:top w:val="none" w:sz="0" w:space="0" w:color="000000"/>
                    <w:left w:val="none" w:sz="0" w:space="0" w:color="000000"/>
                    <w:right w:val="none" w:sz="0" w:space="0" w:color="000000"/>
                  </w:tcBorders>
                  <w:shd w:val="clear" w:color="auto" w:fill="F2F2F2"/>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62.6</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8.3</w:t>
                  </w:r>
                </w:p>
              </w:tc>
              <w:tc>
                <w:tcPr>
                  <w:tcBorders>
                    <w:bottom w:val="none" w:sz="0" w:space="0" w:color="000000"/>
                    <w:top w:val="none" w:sz="0" w:space="0" w:color="000000"/>
                    <w:left w:val="none" w:sz="0" w:space="0" w:color="000000"/>
                    <w:right w:val="none" w:sz="0" w:space="0" w:color="000000"/>
                  </w:tcBorders>
                  <w:shd w:val="clear" w:color="auto" w:fill="F2F2F2"/>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N/A</w:t>
                  </w:r>
                </w:p>
              </w:tc>
              <w:tc>
                <w:tcPr>
                  <w:tcBorders>
                    <w:bottom w:val="none" w:sz="0" w:space="0" w:color="000000"/>
                    <w:top w:val="none" w:sz="0" w:space="0" w:color="000000"/>
                    <w:left w:val="none" w:sz="0" w:space="0" w:color="000000"/>
                    <w:right w:val="none" w:sz="0" w:space="0" w:color="000000"/>
                  </w:tcBorders>
                  <w:shd w:val="clear" w:color="auto" w:fill="F2F2F2"/>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13.4</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4.2</w:t>
                  </w:r>
                </w:p>
              </w:tc>
              <w:tc>
                <w:tcPr>
                  <w:tcBorders>
                    <w:bottom w:val="none" w:sz="0" w:space="0" w:color="000000"/>
                    <w:top w:val="none" w:sz="0" w:space="0" w:color="000000"/>
                    <w:left w:val="none" w:sz="0" w:space="0" w:color="000000"/>
                    <w:right w:val="none" w:sz="0" w:space="0" w:color="000000"/>
                  </w:tcBorders>
                  <w:shd w:val="clear" w:color="auto" w:fill="F2F2F2"/>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38.3</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17.7</w:t>
                  </w:r>
                </w:p>
              </w:tc>
            </w:tr>
            <w:tr>
              <w:trPr>
                <w:trHeight w:val="624" w:hRule="auto"/>
              </w:trPr>
              body10
              <w:tc>
                <w:tcPr>
                  <w:vMerge w:val="restart"/>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Qi</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et</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al.,</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(2018)*</w:t>
                  </w:r>
                </w:p>
              </w:tc>
              <w:tc>
                <w:tcPr>
                  <w:vMerge w:val="restart"/>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MRI</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38</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healthy</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35.71</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(5.36)</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95</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(2)</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63.85</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(4.8)</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32.35</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(6.26)</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15.35</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(9.13)</w:t>
                  </w:r>
                </w:p>
              </w:tc>
              <w:tc>
                <w:tcPr>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38.09</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(18.84)</w:t>
                  </w:r>
                </w:p>
              </w:tc>
            </w:tr>
            <w:tr>
              <w:trPr>
                <w:trHeight w:val="607" w:hRule="auto"/>
              </w:trPr>
              body11
              <w:tc>
                <w:tcPr>
                  <w:vMerge/>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p>
              </w:tc>
              <w:tc>
                <w:tcPr>
                  <w:vMerge/>
                  <w:tcBorders>
                    <w:bottom w:val="none" w:sz="0" w:space="0" w:color="000000"/>
                    <w:top w:val="none" w:sz="0" w:space="0" w:color="000000"/>
                    <w:left w:val="none" w:sz="0" w:space="0" w:color="000000"/>
                    <w:right w:val="none" w:sz="0" w:space="0" w:color="000000"/>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p>
              </w:tc>
              <w:tc>
                <w:tcPr>
                  <w:tcBorders>
                    <w:bottom w:val="none" w:sz="0" w:space="0" w:color="000000"/>
                    <w:top w:val="none" w:sz="0" w:space="0" w:color="000000"/>
                    <w:left w:val="none" w:sz="0" w:space="0" w:color="000000"/>
                    <w:right w:val="none" w:sz="0" w:space="0" w:color="000000"/>
                  </w:tcBorders>
                  <w:shd w:val="clear" w:color="auto" w:fill="F2F2F2"/>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23</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PWML</w:t>
                  </w:r>
                </w:p>
              </w:tc>
              <w:tc>
                <w:tcPr>
                  <w:tcBorders>
                    <w:bottom w:val="none" w:sz="0" w:space="0" w:color="000000"/>
                    <w:top w:val="none" w:sz="0" w:space="0" w:color="000000"/>
                    <w:left w:val="none" w:sz="0" w:space="0" w:color="000000"/>
                    <w:right w:val="none" w:sz="0" w:space="0" w:color="000000"/>
                  </w:tcBorders>
                  <w:shd w:val="clear" w:color="auto" w:fill="F2F2F2"/>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35.14</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(3.29)</w:t>
                  </w:r>
                </w:p>
              </w:tc>
              <w:tc>
                <w:tcPr>
                  <w:tcBorders>
                    <w:bottom w:val="none" w:sz="0" w:space="0" w:color="000000"/>
                    <w:top w:val="none" w:sz="0" w:space="0" w:color="000000"/>
                    <w:left w:val="none" w:sz="0" w:space="0" w:color="000000"/>
                    <w:right w:val="none" w:sz="0" w:space="0" w:color="000000"/>
                  </w:tcBorders>
                  <w:shd w:val="clear" w:color="auto" w:fill="F2F2F2"/>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95</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(2)</w:t>
                  </w:r>
                </w:p>
              </w:tc>
              <w:tc>
                <w:tcPr>
                  <w:tcBorders>
                    <w:bottom w:val="none" w:sz="0" w:space="0" w:color="000000"/>
                    <w:top w:val="none" w:sz="0" w:space="0" w:color="000000"/>
                    <w:left w:val="none" w:sz="0" w:space="0" w:color="000000"/>
                    <w:right w:val="none" w:sz="0" w:space="0" w:color="000000"/>
                  </w:tcBorders>
                  <w:shd w:val="clear" w:color="auto" w:fill="F2F2F2"/>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68.7</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(16.3)</w:t>
                  </w:r>
                </w:p>
              </w:tc>
              <w:tc>
                <w:tcPr>
                  <w:tcBorders>
                    <w:bottom w:val="none" w:sz="0" w:space="0" w:color="000000"/>
                    <w:top w:val="none" w:sz="0" w:space="0" w:color="000000"/>
                    <w:left w:val="none" w:sz="0" w:space="0" w:color="000000"/>
                    <w:right w:val="none" w:sz="0" w:space="0" w:color="000000"/>
                  </w:tcBorders>
                  <w:shd w:val="clear" w:color="auto" w:fill="F2F2F2"/>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27.53</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(18.94)</w:t>
                  </w:r>
                </w:p>
              </w:tc>
              <w:tc>
                <w:tcPr>
                  <w:tcBorders>
                    <w:bottom w:val="none" w:sz="0" w:space="0" w:color="000000"/>
                    <w:top w:val="none" w:sz="0" w:space="0" w:color="000000"/>
                    <w:left w:val="none" w:sz="0" w:space="0" w:color="000000"/>
                    <w:right w:val="none" w:sz="0" w:space="0" w:color="000000"/>
                  </w:tcBorders>
                  <w:shd w:val="clear" w:color="auto" w:fill="F2F2F2"/>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12.63</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(7.83)</w:t>
                  </w:r>
                </w:p>
              </w:tc>
              <w:tc>
                <w:tcPr>
                  <w:tcBorders>
                    <w:bottom w:val="none" w:sz="0" w:space="0" w:color="000000"/>
                    <w:top w:val="none" w:sz="0" w:space="0" w:color="000000"/>
                    <w:left w:val="none" w:sz="0" w:space="0" w:color="000000"/>
                    <w:right w:val="none" w:sz="0" w:space="0" w:color="000000"/>
                  </w:tcBorders>
                  <w:shd w:val="clear" w:color="auto" w:fill="F2F2F2"/>
                  <w:tcMar>
                    <w:top w:w="0" w:type="dxa"/>
                    <w:bottom w:w="0" w:type="dxa"/>
                    <w:left w:w="0" w:type="dxa"/>
                    <w:right w:w="0" w:type="dxa"/>
                  </w:tcMar>
                  <w:vAlign w:val="center"/>
                </w:tcPr>
                <w:p>
                  <w:pPr>
                    <w:pStyle w:val="Normal"/>
                    <w:jc w:val="righ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29.11</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 </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(16.8)</w:t>
                  </w:r>
                </w:p>
              </w:tc>
            </w:tr>
            <w:tr>
              <w:trPr>
                <w:trHeight w:val="360" w:hRule="auto"/>
              </w:trPr>
              footer 1
              <w:tc>
                <w:tcPr>
                  <w:gridSpan w:val="9"/>
                  <w:tcBorders>
                    <w:bottom w:val="none" w:sz="0" w:space="0" w:color="FFFFFF"/>
                    <w:top w:val="none" w:sz="0" w:space="0" w:color="000000"/>
                    <w:left w:val="none" w:sz="0" w:space="0" w:color="FFFFFF"/>
                    <w:right w:val="none" w:sz="0" w:space="0" w:color="FFFFFF"/>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vertAlign w:val="superscript"/>
                      <w:sz w:val="22"/>
                      <w:szCs w:val="22"/>
                      <w:color w:val="000000"/>
                    </w:rPr>
                    <w:t xml:space="preserve">*</w:t>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Median and interquartile range reported</w:t>
                  </w:r>
                </w:p>
              </w:tc>
            </w:tr>
            <w:tr>
              <w:trPr>
                <w:trHeight w:val="360" w:hRule="auto"/>
              </w:trPr>
              footer 2
              <w:tc>
                <w:tcPr>
                  <w:gridSpan w:val="9"/>
                  <w:tcBorders>
                    <w:bottom w:val="none" w:sz="0" w:space="0" w:color="FFFFFF"/>
                    <w:top w:val="none" w:sz="0" w:space="0" w:color="FFFFFF"/>
                    <w:left w:val="none" w:sz="0" w:space="0" w:color="FFFFFF"/>
                    <w:right w:val="none" w:sz="0" w:space="0" w:color="FFFFFF"/>
                  </w:tcBorders>
                  <w:shd w:val="clear" w:color="auto" w:fill="FFFFFF"/>
                  <w:tcMar>
                    <w:top w:w="0" w:type="dxa"/>
                    <w:bottom w:w="0" w:type="dxa"/>
                    <w:left w:w="0" w:type="dxa"/>
                    <w:right w:w="0" w:type="dxa"/>
                  </w:tcMar>
                  <w:vAlign w:val="center"/>
                </w:tcPr>
                <w:p>
                  <w:pPr>
                    <w:pStyle w:val="Normal"/>
                    <w:jc w:val="left"/>
                    <w:pBdr>
                      <w:bottom w:val="none" w:sz="0" w:space="0" w:color="000000"/>
                      <w:top w:val="none" w:sz="0" w:space="0" w:color="000000"/>
                      <w:left w:val="none" w:sz="0" w:space="0" w:color="000000"/>
                      <w:right w:val="none" w:sz="0" w:space="0" w:color="000000"/>
                    </w:pBdr>
                    <w:spacing w:after="100" w:before="100" w:line="240"/>
                    <w:ind w:left="100" w:right="100" w:firstLine="0" w:firstLineChars="0"/>
                  </w:pP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vertAlign w:val="superscript"/>
                      <w:sz w:val="22"/>
                      <w:szCs w:val="22"/>
                      <w:color w:val="000000"/>
                    </w:rPr>
                    <w:t xml:space="preserve"/>
                  </w:r>
                  <w:r xmlns:w="http://schemas.openxmlformats.org/wordprocessingml/2006/main" xmlns:wp="http://schemas.openxmlformats.org/drawingml/2006/wordprocessingDrawing" xmlns:r="http://schemas.openxmlformats.org/officeDocument/2006/relationships" xmlns:w14="http://schemas.microsoft.com/office/word/2010/wordml">
                    <w:rPr>
                      <w:rFonts w:ascii="DejaVu Sans" w:hAnsi="DejaVu Sans" w:eastAsia="DejaVu Sans" w:cs="DejaVu Sans"/>
                      <w:i w:val="false"/>
                      <w:b w:val="false"/>
                      <w:u w:val="none"/>
                      <w:sz w:val="22"/>
                      <w:szCs w:val="22"/>
                      <w:color w:val="000000"/>
                    </w:rPr>
                    <w:t xml:space="preserve">CGM = cortical grey matter; WM = white matter; DGM = deep grey matter; BS = brainstem; Cereb = cerebellum; H&amp;A = hippocampus and amygdala.</w:t>
                  </w:r>
                </w:p>
              </w:tc>
            </w:tr>
          </w:tbl>
          <w:bookmarkEnd w:id="74"/>
        </w:tc>
      </w:tr>
    </w:tbl>
    <w:p>
      <w:pPr>
        <w:pStyle w:val="TextBody"/>
      </w:pPr>
      <w:r>
        <w:t xml:space="preserve">One strength of using ASL compared to similar studies that used phase-contrast to calculate CBF is the ability to look at regional changes in CBF as opposed to a single number for the whole-brain</w:t>
      </w:r>
      <w:r>
        <w:rPr>
          <w:vertAlign w:val="superscript"/>
        </w:rPr>
        <w:t xml:space="preserve">19,20</w:t>
      </w:r>
      <w:r>
        <w:t xml:space="preserve">. This is best demonstrated in the difference we see when looking at correlations with Category 2, where all regions were found to have a positive correlation with CBF, but only the brainstem and cerebellum were found to be positively correlated with CMRO</w:t>
      </w:r>
      <w:r>
        <w:rPr>
          <w:vertAlign w:val="subscript"/>
        </w:rPr>
        <w:t xml:space="preserve">2</w:t>
      </w:r>
      <w:r>
        <w:t xml:space="preserve">. This discrepancy is discussed more below. However, using ASL in infants also has drawbacks that should be considered, including low signal-to-noise ratio, quantification difficulties due to uncertainty in labelling efficiency and bolus arrival time, and the rapid changes that occur in such young populations that make single-imaging-protocol difficult</w:t>
      </w:r>
      <w:r>
        <w:rPr>
          <w:vertAlign w:val="superscript"/>
        </w:rPr>
        <w:t xml:space="preserve">58</w:t>
      </w:r>
      <w:r>
        <w:t xml:space="preserve">. Another method future researchers should consider is quantitative blood oxygenation level-dependent imaging (qBOLD)</w:t>
      </w:r>
      <w:r>
        <w:rPr>
          <w:vertAlign w:val="superscript"/>
        </w:rPr>
        <w:t xml:space="preserve">59</w:t>
      </w:r>
      <w:r>
        <w:t xml:space="preserve">.</w:t>
      </w:r>
    </w:p>
    <w:p>
      <w:pPr>
        <w:pStyle w:val="TextBody"/>
      </w:pPr>
      <w:r>
        <w:t xml:space="preserve">Similarly, a strength of using QSM to study CSvO</w:t>
      </w:r>
      <w:r>
        <w:rPr>
          <w:vertAlign w:val="subscript"/>
        </w:rPr>
        <w:t xml:space="preserve">2</w:t>
      </w:r>
      <w:r>
        <w:t xml:space="preserve"> </w:t>
      </w:r>
      <w:r>
        <w:t xml:space="preserve">rather than previous MRI methods that used the TRUST</w:t>
      </w:r>
      <w:r>
        <w:rPr>
          <w:vertAlign w:val="superscript"/>
        </w:rPr>
        <w:t xml:space="preserve">19,20</w:t>
      </w:r>
      <w:r>
        <w:t xml:space="preserve"> </w:t>
      </w:r>
      <w:r>
        <w:t xml:space="preserve">or T</w:t>
      </w:r>
      <w:r>
        <w:rPr>
          <w:vertAlign w:val="subscript"/>
        </w:rPr>
        <w:t xml:space="preserve">2</w:t>
      </w:r>
      <w:r>
        <w:t xml:space="preserve">-TRIR</w:t>
      </w:r>
      <w:r>
        <w:rPr>
          <w:vertAlign w:val="superscript"/>
        </w:rPr>
        <w:t xml:space="preserve">26</w:t>
      </w:r>
      <w:r>
        <w:t xml:space="preserve">, is that QSM produces a whole-brain map with high spatial resolution. By producing a whole-brain map, we were able to measure the CSvO</w:t>
      </w:r>
      <w:r>
        <w:rPr>
          <w:vertAlign w:val="subscript"/>
        </w:rPr>
        <w:t xml:space="preserve">2</w:t>
      </w:r>
      <w:r>
        <w:t xml:space="preserve"> </w:t>
      </w:r>
      <w:r>
        <w:t xml:space="preserve">by averaging over all internal veins. This is likely to produce a more robust measurement than acquiring a single slice and averaging within the superior sagittal sinus (SSS) as TRUST and T</w:t>
      </w:r>
      <w:r>
        <w:rPr>
          <w:vertAlign w:val="subscript"/>
        </w:rPr>
        <w:t xml:space="preserve">2</w:t>
      </w:r>
      <w:r>
        <w:t xml:space="preserve">-TRIR do. For the current study, our QSM maps were reconstructed to a 0.9 x 0.9 x 0.9 mm</w:t>
      </w:r>
      <w:r>
        <w:rPr>
          <w:vertAlign w:val="superscript"/>
        </w:rPr>
        <w:t xml:space="preserve">3</w:t>
      </w:r>
      <w:r>
        <w:t xml:space="preserve"> </w:t>
      </w:r>
      <w:r>
        <w:t xml:space="preserve">resolution, but future studies would benefit from acquiring and reconstructing up to 0.5 x 0.5 x 0.5 mm</w:t>
      </w:r>
      <w:r>
        <w:rPr>
          <w:vertAlign w:val="superscript"/>
        </w:rPr>
        <w:t xml:space="preserve">3</w:t>
      </w:r>
      <w:r>
        <w:t xml:space="preserve">. Indeed, greater spatial resolution would likely improve CSvO</w:t>
      </w:r>
      <w:r>
        <w:rPr>
          <w:vertAlign w:val="subscript"/>
        </w:rPr>
        <w:t xml:space="preserve">2</w:t>
      </w:r>
      <w:r>
        <w:t xml:space="preserve"> </w:t>
      </w:r>
      <w:r>
        <w:t xml:space="preserve">measurements as</w:t>
      </w:r>
      <w:r>
        <w:t xml:space="preserve"> </w:t>
      </w:r>
      <m:oMath>
        <m:r>
          <m:t>χ</m:t>
        </m:r>
      </m:oMath>
      <w:r>
        <w:t xml:space="preserve"> </w:t>
      </w:r>
      <w:r>
        <w:t xml:space="preserve">values could be better isolated to venous tissue without including non-venous sources. Finally, higher resolution QSM could also allow for fully regional analysis of CSvO</w:t>
      </w:r>
      <w:r>
        <w:rPr>
          <w:vertAlign w:val="subscript"/>
        </w:rPr>
        <w:t xml:space="preserve">2</w:t>
      </w:r>
      <w:r>
        <w:t xml:space="preserve"> </w:t>
      </w:r>
      <w:r>
        <w:t xml:space="preserve">values, which we did not attempt here. Unfortunately, as our method for calculating QSM requires removing brain tissue along the edge of the brain (an eroded brain mask), we could not measure CSvO</w:t>
      </w:r>
      <w:r>
        <w:rPr>
          <w:vertAlign w:val="subscript"/>
        </w:rPr>
        <w:t xml:space="preserve">2</w:t>
      </w:r>
      <w:r>
        <w:t xml:space="preserve"> </w:t>
      </w:r>
      <w:r>
        <w:t xml:space="preserve">values in the SSS for more direct comparisons. Future work should be directed at acquiring QSM values in the SSS.</w:t>
      </w:r>
    </w:p>
    <w:p>
      <w:pPr>
        <w:pStyle w:val="TextBody"/>
      </w:pPr>
      <w:r>
        <w:t xml:space="preserve">Two of the studies that measured CMRO</w:t>
      </w:r>
      <w:r>
        <w:rPr>
          <w:vertAlign w:val="subscript"/>
        </w:rPr>
        <w:t xml:space="preserve">2</w:t>
      </w:r>
      <w:r>
        <w:t xml:space="preserve">, CBF and CSvO</w:t>
      </w:r>
      <w:r>
        <w:rPr>
          <w:vertAlign w:val="subscript"/>
        </w:rPr>
        <w:t xml:space="preserve">2</w:t>
      </w:r>
      <w:r>
        <w:t xml:space="preserve"> </w:t>
      </w:r>
      <w:r>
        <w:t xml:space="preserve">in sick newborns requiring ventilatory support did not investigate associations between these values and days on various forms of respiratory support. Therefore, we were not able to directly compare these findings.</w:t>
      </w:r>
    </w:p>
    <w:bookmarkEnd w:id="75"/>
    <w:bookmarkStart w:id="76" w:name="respiratory-support"/>
    <w:p>
      <w:pPr>
        <w:pStyle w:val="Heading2"/>
      </w:pPr>
      <w:r>
        <w:t xml:space="preserve">Respiratory support</w:t>
      </w:r>
    </w:p>
    <w:p>
      <w:pPr>
        <w:pStyle w:val="FirstParagraph"/>
      </w:pPr>
      <w:r>
        <w:t xml:space="preserve">In the present study, more days in room air without any type of respiratory support was associated with lower CMRO</w:t>
      </w:r>
      <w:r>
        <w:rPr>
          <w:vertAlign w:val="subscript"/>
        </w:rPr>
        <w:t xml:space="preserve">2</w:t>
      </w:r>
      <w:r>
        <w:t xml:space="preserve"> </w:t>
      </w:r>
      <w:r>
        <w:t xml:space="preserve">and CBF values. If the assumption of higher CMRO</w:t>
      </w:r>
      <w:r>
        <w:rPr>
          <w:vertAlign w:val="subscript"/>
        </w:rPr>
        <w:t xml:space="preserve">2</w:t>
      </w:r>
      <w:r>
        <w:t xml:space="preserve"> </w:t>
      </w:r>
      <w:r>
        <w:t xml:space="preserve">and CBF are indications of more optimal brain health, then this may suggest that the use of some form of respiratory support may be more beneficial to very preterm infants than weaning to room air. Indeed, CMRO</w:t>
      </w:r>
      <w:r>
        <w:rPr>
          <w:vertAlign w:val="subscript"/>
        </w:rPr>
        <w:t xml:space="preserve">2</w:t>
      </w:r>
      <w:r>
        <w:t xml:space="preserve"> </w:t>
      </w:r>
      <w:r>
        <w:t xml:space="preserve">and CBF were positively related to the proportion of time on respiratory support compared to the total time in the NICU. However, caution must be advised when interpreting these findings. Our study was observational, therefore, we cannot exclude various confounding factors, such as various levels of illness which would have dictated the form of respiratory support the infant received. We may be observing a compensatory effect, wherein infants who were sicker may have over-compensated for CBF and CMRO</w:t>
      </w:r>
      <w:r>
        <w:rPr>
          <w:vertAlign w:val="subscript"/>
        </w:rPr>
        <w:t xml:space="preserve">2</w:t>
      </w:r>
      <w:r>
        <w:t xml:space="preserve"> </w:t>
      </w:r>
      <w:r>
        <w:t xml:space="preserve">to provide adequate oxygen. This would imply that increased CMRO</w:t>
      </w:r>
      <w:r>
        <w:rPr>
          <w:vertAlign w:val="subscript"/>
        </w:rPr>
        <w:t xml:space="preserve">2</w:t>
      </w:r>
      <w:r>
        <w:t xml:space="preserve"> </w:t>
      </w:r>
      <w:r>
        <w:t xml:space="preserve">and CBF are a reflection of higher illness severity. It is critical for future studies to further explore this relationship because, if on the other hand, being in room air indicates suboptimal cerebral oxygenation and metabolism, it may significantly influence how infants in the NICU are managed.</w:t>
      </w:r>
    </w:p>
    <w:p>
      <w:pPr>
        <w:pStyle w:val="TextBody"/>
      </w:pPr>
      <w:r>
        <w:t xml:space="preserve">Furthermore, while all brain regions were found to have a negative correlation between days in room air and CMRO</w:t>
      </w:r>
      <w:r>
        <w:rPr>
          <w:vertAlign w:val="subscript"/>
        </w:rPr>
        <w:t xml:space="preserve">2</w:t>
      </w:r>
      <w:r>
        <w:t xml:space="preserve">, this was not the case for CBF, where only the cortical grey matter, deep grey matter, and hippocampus &amp; amygdala were found to be negatively correlated with days in room air. Specific brain structures appear to regulate the level of CBF differently and independently of CMRO</w:t>
      </w:r>
      <w:r>
        <w:rPr>
          <w:vertAlign w:val="subscript"/>
        </w:rPr>
        <w:t xml:space="preserve">2</w:t>
      </w:r>
      <w:r>
        <w:t xml:space="preserve">, suggesting that these brain regions may be more susceptible to or protected from hypoxia. Indeed, evidence for physiological uncoupling of CBF and CMRO</w:t>
      </w:r>
      <w:r>
        <w:rPr>
          <w:vertAlign w:val="subscript"/>
        </w:rPr>
        <w:t xml:space="preserve">2</w:t>
      </w:r>
      <w:r>
        <w:t xml:space="preserve"> </w:t>
      </w:r>
      <w:r>
        <w:t xml:space="preserve">has been reported previously</w:t>
      </w:r>
      <w:r>
        <w:rPr>
          <w:vertAlign w:val="superscript"/>
        </w:rPr>
        <w:t xml:space="preserve">60–62</w:t>
      </w:r>
      <w:r>
        <w:t xml:space="preserve">. However, caution should be exercised when drawing strong conclusions from our exploratory analysis.</w:t>
      </w:r>
    </w:p>
    <w:p>
      <w:pPr>
        <w:pStyle w:val="TextBody"/>
      </w:pPr>
      <w:r>
        <w:t xml:space="preserve">Invasive ventilation was not found to have to be associated with CMRO</w:t>
      </w:r>
      <w:r>
        <w:rPr>
          <w:vertAlign w:val="subscript"/>
        </w:rPr>
        <w:t xml:space="preserve">2</w:t>
      </w:r>
      <w:r>
        <w:t xml:space="preserve"> </w:t>
      </w:r>
      <w:r>
        <w:t xml:space="preserve">or CBF in any tissue regions. This was unexpected as we hypothesized that infants who required more days on invasive ventilatory support would have lower CMRO</w:t>
      </w:r>
      <w:r>
        <w:rPr>
          <w:vertAlign w:val="subscript"/>
        </w:rPr>
        <w:t xml:space="preserve">2</w:t>
      </w:r>
      <w:r>
        <w:t xml:space="preserve"> </w:t>
      </w:r>
      <w:r>
        <w:t xml:space="preserve">values at TEA. We also did not find a relationship between invasive mechanical ventilation and brain stem volume at TEA, unlike a previous study by Guillot et al. (2020)</w:t>
      </w:r>
      <w:r>
        <w:rPr>
          <w:vertAlign w:val="superscript"/>
        </w:rPr>
        <w:t xml:space="preserve">7</w:t>
      </w:r>
      <w:r>
        <w:t xml:space="preserve">. Our results are likely limited by the low exposure of this population to invasive mechanical ventilation, as only one infant required invasive support for a prolonged period of time (&gt; 28days).</w:t>
      </w:r>
    </w:p>
    <w:p>
      <w:pPr>
        <w:pStyle w:val="TextBody"/>
      </w:pPr>
      <w:r>
        <w:t xml:space="preserve">Non-invasive ventilation support was associated with increased CMRO</w:t>
      </w:r>
      <w:r>
        <w:rPr>
          <w:vertAlign w:val="subscript"/>
        </w:rPr>
        <w:t xml:space="preserve">2</w:t>
      </w:r>
      <w:r>
        <w:t xml:space="preserve"> </w:t>
      </w:r>
      <w:r>
        <w:t xml:space="preserve">and CBF in preterm neonates at TEA. The observed increase in CMRO</w:t>
      </w:r>
      <w:r>
        <w:rPr>
          <w:vertAlign w:val="subscript"/>
        </w:rPr>
        <w:t xml:space="preserve">2</w:t>
      </w:r>
      <w:r>
        <w:t xml:space="preserve"> </w:t>
      </w:r>
      <w:r>
        <w:t xml:space="preserve">and CBF with non-invasive ventilation</w:t>
      </w:r>
      <w:r>
        <w:t xml:space="preserve"> </w:t>
      </w:r>
      <w:r>
        <w:rPr>
          <w:i/>
          <w:iCs/>
        </w:rPr>
        <w:t xml:space="preserve">suggests</w:t>
      </w:r>
      <w:r>
        <w:t xml:space="preserve"> </w:t>
      </w:r>
      <w:r>
        <w:t xml:space="preserve">that prioritizing non-invasive over invasive ventilation may improve brain health outcomes in preterm neonates. However, caution should be exercised as our findings are exploratory in nature. Future studies on respiratory support strategies should incorporate CMRO</w:t>
      </w:r>
      <w:r>
        <w:rPr>
          <w:vertAlign w:val="subscript"/>
        </w:rPr>
        <w:t xml:space="preserve">2</w:t>
      </w:r>
      <w:r>
        <w:t xml:space="preserve"> </w:t>
      </w:r>
      <w:r>
        <w:t xml:space="preserve">and CBF measurements to better understand their relationship with cerebral oxygenation and include a healthy term control cohort to establish comparative baseline values.</w:t>
      </w:r>
    </w:p>
    <w:p>
      <w:pPr>
        <w:pStyle w:val="TextBody"/>
      </w:pPr>
      <w:r>
        <w:t xml:space="preserve">The difference between elevated CMRO</w:t>
      </w:r>
      <w:r>
        <w:rPr>
          <w:vertAlign w:val="subscript"/>
        </w:rPr>
        <w:t xml:space="preserve">2</w:t>
      </w:r>
      <w:r>
        <w:t xml:space="preserve"> </w:t>
      </w:r>
      <w:r>
        <w:t xml:space="preserve">and CBF was also observed within specific tissues where CBF increased in all tissues for infants on non-invasive ventilation, but CMRO</w:t>
      </w:r>
      <w:r>
        <w:rPr>
          <w:vertAlign w:val="subscript"/>
        </w:rPr>
        <w:t xml:space="preserve">2</w:t>
      </w:r>
      <w:r>
        <w:t xml:space="preserve"> </w:t>
      </w:r>
      <w:r>
        <w:t xml:space="preserve">only increased in the brainstem and cerebellar tissue. One possibility for this observation could be that compensatory mechanisms are activated in response to respiratory distress or regional brain injuries that hinder the uptake of oxygen. As with our findings in room air, this suggests that specific brain regions respond to respiratory support differently and may be more susceptible to damage. However, further research is first required to reproduce our exploratory findings.</w:t>
      </w:r>
    </w:p>
    <w:bookmarkEnd w:id="76"/>
    <w:bookmarkStart w:id="77" w:name="limitations"/>
    <w:p>
      <w:pPr>
        <w:pStyle w:val="Heading2"/>
      </w:pPr>
      <w:r>
        <w:t xml:space="preserve">Limitations</w:t>
      </w:r>
    </w:p>
    <w:p>
      <w:pPr>
        <w:pStyle w:val="FirstParagraph"/>
      </w:pPr>
      <w:r>
        <w:t xml:space="preserve">There are several limitations that are worth highlighting. Our CSvO</w:t>
      </w:r>
      <w:r>
        <w:rPr>
          <w:vertAlign w:val="subscript"/>
        </w:rPr>
        <w:t xml:space="preserve">2</w:t>
      </w:r>
      <w:r>
        <w:t xml:space="preserve"> </w:t>
      </w:r>
      <w:r>
        <w:t xml:space="preserve">processing pipeline filtered out</w:t>
      </w:r>
      <w:r>
        <w:t xml:space="preserve"> </w:t>
      </w:r>
      <m:oMath>
        <m:r>
          <m:t>χ</m:t>
        </m:r>
      </m:oMath>
      <w:r>
        <w:t xml:space="preserve"> </w:t>
      </w:r>
      <w:r>
        <w:t xml:space="preserve">values below 0.15 ppm in order to obtain realistic values. Furthermore, our SWI sequence was acquired at 1 x 1 x 2 mm</w:t>
      </w:r>
      <w:r>
        <w:rPr>
          <w:vertAlign w:val="superscript"/>
        </w:rPr>
        <w:t xml:space="preserve">2</w:t>
      </w:r>
      <w:r>
        <w:t xml:space="preserve"> </w:t>
      </w:r>
      <w:r>
        <w:t xml:space="preserve">but were reconstructed to 1 x 1 x 1 mm</w:t>
      </w:r>
      <w:r>
        <w:rPr>
          <w:vertAlign w:val="superscript"/>
        </w:rPr>
        <w:t xml:space="preserve">3</w:t>
      </w:r>
      <w:r>
        <w:t xml:space="preserve"> </w:t>
      </w:r>
      <w:r>
        <w:t xml:space="preserve">through zero-padded Fourier interpolation. This interpolation may introduce partial volume effects, particularly in small venous structures in neonates. Future studies should use smaller voxel sizes acquired isotropically, as well as a technique to decompose paramagnetic and diamagnetic values in order to avoid this step</w:t>
      </w:r>
      <w:r>
        <w:rPr>
          <w:vertAlign w:val="superscript"/>
        </w:rPr>
        <w:t xml:space="preserve">63</w:t>
      </w:r>
      <w:r>
        <w:t xml:space="preserve">. See a recent study of ours for an attempt at this technique</w:t>
      </w:r>
      <w:r>
        <w:rPr>
          <w:vertAlign w:val="superscript"/>
        </w:rPr>
        <w:t xml:space="preserve">64</w:t>
      </w:r>
      <w:r>
        <w:t xml:space="preserve">.</w:t>
      </w:r>
      <w:r>
        <w:t xml:space="preserve"> </w:t>
      </w:r>
      <w:r>
        <w:t xml:space="preserve">Furthermore, in order to reduce QSM artifacts, the exterior of the brain mask was eroded, making it impossible to measure CSvO</w:t>
      </w:r>
      <w:r>
        <w:rPr>
          <w:vertAlign w:val="subscript"/>
        </w:rPr>
        <w:t xml:space="preserve">2</w:t>
      </w:r>
      <w:r>
        <w:t xml:space="preserve"> </w:t>
      </w:r>
      <w:r>
        <w:t xml:space="preserve">in the SSS. Future studies may find a way to measure QSM in the SSS, which would also allow researchers to determine if CSvO</w:t>
      </w:r>
      <w:r>
        <w:rPr>
          <w:vertAlign w:val="subscript"/>
        </w:rPr>
        <w:t xml:space="preserve">2</w:t>
      </w:r>
      <w:r>
        <w:t xml:space="preserve"> </w:t>
      </w:r>
      <w:r>
        <w:t xml:space="preserve">values are different in the SSS compared to the central cerebral veins. Again, see a recent study of ours that attempted this</w:t>
      </w:r>
      <w:r>
        <w:rPr>
          <w:vertAlign w:val="superscript"/>
        </w:rPr>
        <w:t xml:space="preserve">64</w:t>
      </w:r>
      <w:r>
        <w:t xml:space="preserve">.</w:t>
      </w:r>
      <w:r>
        <w:t xml:space="preserve"> </w:t>
      </w:r>
      <w:r>
        <w:t xml:space="preserve">CSvO</w:t>
      </w:r>
      <w:r>
        <w:rPr>
          <w:vertAlign w:val="subscript"/>
        </w:rPr>
        <w:t xml:space="preserve">2</w:t>
      </w:r>
      <w:r>
        <w:t xml:space="preserve"> </w:t>
      </w:r>
      <w:r>
        <w:t xml:space="preserve">values were not regional, but were averaged from the central cerebral veins. Future studies should look into ways of creating a fully-regional voxel-by-voxel CSvO</w:t>
      </w:r>
      <w:r>
        <w:rPr>
          <w:vertAlign w:val="subscript"/>
        </w:rPr>
        <w:t xml:space="preserve">2</w:t>
      </w:r>
      <w:r>
        <w:t xml:space="preserve"> </w:t>
      </w:r>
      <w:r>
        <w:t xml:space="preserve">map. One source of inspiration could be Kudo et al. (2015), who created OEF maps from QSM data by using a local threshold method with a volume-of-interest (VOI) of 50 × 50 × 50 mm</w:t>
      </w:r>
      <w:r>
        <w:rPr>
          <w:vertAlign w:val="superscript"/>
        </w:rPr>
        <w:t xml:space="preserve">3</w:t>
      </w:r>
      <w:r>
        <w:rPr>
          <w:vertAlign w:val="superscript"/>
        </w:rPr>
        <w:t xml:space="preserve">65</w:t>
      </w:r>
      <w:r>
        <w:t xml:space="preserve">. However, this would result in a low resolution image.</w:t>
      </w:r>
      <w:r>
        <w:t xml:space="preserve"> </w:t>
      </w:r>
      <w:r>
        <w:t xml:space="preserve">Hct levels were not collected on the day of the scan, but instead were predicted based on past values.</w:t>
      </w:r>
      <w:r>
        <w:t xml:space="preserve"> </w:t>
      </w:r>
      <w:r>
        <w:t xml:space="preserve">Our respiratory support analysis was exploratory with a small sample size. Thus, the positive correlation we found in Category 2 may be spurious or a result of an unaccounted factor. Future studies using large sample randomized controlled trials would provide a clearer understanding of the relationship between respiratory support and cerebral oxygenation.</w:t>
      </w:r>
      <w:r>
        <w:t xml:space="preserve"> </w:t>
      </w:r>
      <w:r>
        <w:t xml:space="preserve">Imaging was performed at term-equivalent age after the infants had been discharged from the NICU, meaning the scans were performed weeks after the infants were last on respiratory support. Obtaining scans while the infants are still receiving respiratory support could provide a more robust mechanistic connection.</w:t>
      </w:r>
      <w:r>
        <w:t xml:space="preserve"> </w:t>
      </w:r>
      <w:r>
        <w:t xml:space="preserve">Our study did not include a healthy control cohort to compare the expected physiological measures at TEA. This would be important to include, as too much oxygen can be just as harmful as not enough</w:t>
      </w:r>
      <w:r>
        <w:rPr>
          <w:vertAlign w:val="superscript"/>
        </w:rPr>
        <w:t xml:space="preserve">66</w:t>
      </w:r>
      <w:r>
        <w:t xml:space="preserve">.</w:t>
      </w:r>
      <w:r>
        <w:t xml:space="preserve"> </w:t>
      </w:r>
      <w:r>
        <w:t xml:space="preserve">Finally, due to our sample size, we were unable to explore supplementary variables, such as medications, that may affect respiratory uptake and oxygen metabolism, and patterns of oxygen saturations infants experience during their NICU stay. We see our study as a first step, and that the data shows promise to direct a larger study where these confounds can be addressed.</w:t>
      </w:r>
    </w:p>
    <w:bookmarkEnd w:id="77"/>
    <w:bookmarkEnd w:id="78"/>
    <w:bookmarkStart w:id="79" w:name="acknowledgments"/>
    <w:p>
      <w:pPr>
        <w:pStyle w:val="Heading1"/>
      </w:pPr>
      <w:r>
        <w:t xml:space="preserve">Acknowledgments</w:t>
      </w:r>
    </w:p>
    <w:p>
      <w:pPr>
        <w:pStyle w:val="FirstParagraph"/>
      </w:pPr>
      <w:r>
        <w:t xml:space="preserve">We wish to acknowledge the work of and thank ***</w:t>
      </w:r>
      <w:r>
        <w:t xml:space="preserve"> </w:t>
      </w:r>
      <w:r>
        <w:t xml:space="preserve">(Research Nurse); ***</w:t>
      </w:r>
      <w:r>
        <w:t xml:space="preserve"> </w:t>
      </w:r>
      <w:r>
        <w:t xml:space="preserve">(Research Nurse); ***</w:t>
      </w:r>
      <w:r>
        <w:t xml:space="preserve"> </w:t>
      </w:r>
      <w:r>
        <w:t xml:space="preserve">(Neonatologist); and ***</w:t>
      </w:r>
      <w:r>
        <w:t xml:space="preserve"> </w:t>
      </w:r>
      <w:r>
        <w:t xml:space="preserve"> </w:t>
      </w:r>
      <w:r>
        <w:t xml:space="preserve">(Radiologist).</w:t>
      </w:r>
    </w:p>
    <w:bookmarkEnd w:id="79"/>
    <w:bookmarkStart w:id="80" w:name="funding"/>
    <w:p>
      <w:pPr>
        <w:pStyle w:val="Heading1"/>
      </w:pPr>
      <w:r>
        <w:t xml:space="preserve">Funding</w:t>
      </w:r>
    </w:p>
    <w:p>
      <w:pPr>
        <w:pStyle w:val="FirstParagraph"/>
      </w:pPr>
      <w:r>
        <w:t xml:space="preserve">Authors AMW and REG were co-primary investigators on a BC Children’s Hospital Research Institute (BCCHRI) - Brain, Behaviour and Development Catalyst Grant ($20,000). AMW and CSZ were supported by an establishment award from BCCHRI. Scanning was partly funded through a special award to AMW from BCCHRI.</w:t>
      </w:r>
    </w:p>
    <w:bookmarkEnd w:id="80"/>
    <w:bookmarkStart w:id="82" w:name="data-availability"/>
    <w:p>
      <w:pPr>
        <w:pStyle w:val="Heading1"/>
      </w:pPr>
      <w:r>
        <w:t xml:space="preserve">Data Availability</w:t>
      </w:r>
    </w:p>
    <w:p>
      <w:pPr>
        <w:pStyle w:val="FirstParagraph"/>
      </w:pPr>
      <w:r>
        <w:t xml:space="preserve">The manuscript was written in a</w:t>
      </w:r>
      <w:r>
        <w:t xml:space="preserve"> </w:t>
      </w:r>
      <w:r>
        <w:t xml:space="preserve">‘reproducible manner’</w:t>
      </w:r>
      <w:r>
        <w:t xml:space="preserve">. The entire manuscript, including statistics reported, figures, and tables, can be reproduced at</w:t>
      </w:r>
      <w:r>
        <w:t xml:space="preserve"> </w:t>
      </w:r>
      <w:hyperlink r:id="rId81">
        <w:r>
          <w:rPr>
            <w:rStyle w:val="InternetLink"/>
          </w:rPr>
          <w:t xml:space="preserve">weberlab.github.io/CMRO2_Manuscript/</w:t>
        </w:r>
      </w:hyperlink>
      <w:r>
        <w:t xml:space="preserve">.</w:t>
      </w:r>
    </w:p>
    <w:p>
      <w:pPr>
        <w:pStyle w:val="TextBody"/>
      </w:pPr>
      <w:r>
        <w:t xml:space="preserve">The data that support the findings of this study are available on request from the corresponding author. The data are not publicly available due to privacy or ethical restrictions.</w:t>
      </w:r>
    </w:p>
    <w:bookmarkEnd w:id="82"/>
    <w:bookmarkStart w:id="211" w:name="references"/>
    <w:p>
      <w:pPr>
        <w:pStyle w:val="Heading1"/>
      </w:pPr>
      <w:r>
        <w:t xml:space="preserve">References</w:t>
      </w:r>
    </w:p>
    <w:bookmarkStart w:id="209" w:name="refs"/>
    <w:bookmarkStart w:id="84" w:name="Xb75e874bcc07a991a6aceda2ec2d2b423648752"/>
    <w:p>
      <w:pPr>
        <w:pStyle w:val="Bibliography"/>
      </w:pPr>
      <w:r>
        <w:t xml:space="preserve">1.</w:t>
      </w:r>
      <w:r>
        <w:t xml:space="preserve"> </w:t>
      </w:r>
      <w:r>
        <w:t xml:space="preserve">	</w:t>
      </w:r>
      <w:r>
        <w:t xml:space="preserve">Kiechl-Kohlendorfer U, Ralser E, Peglow UP, Reiter G, Trawöger R. Adverse neurodevelopmental outcome in preterm infants: Risk factor profiles for different gestational ages.</w:t>
      </w:r>
      <w:r>
        <w:t xml:space="preserve"> </w:t>
      </w:r>
      <w:r>
        <w:rPr>
          <w:i/>
          <w:iCs/>
        </w:rPr>
        <w:t xml:space="preserve">Acta Paediatrica</w:t>
      </w:r>
      <w:r>
        <w:t xml:space="preserve">. 2009;98(5):792-796. doi:</w:t>
      </w:r>
      <w:hyperlink r:id="rId83">
        <w:r>
          <w:rPr>
            <w:rStyle w:val="InternetLink"/>
          </w:rPr>
          <w:t xml:space="preserve">10.1111/j.1651-2227.2009.01219.x</w:t>
        </w:r>
      </w:hyperlink>
    </w:p>
    <w:bookmarkEnd w:id="84"/>
    <w:bookmarkStart w:id="86" w:name="X1a6d9b3ccb91bf08bc354dffdfba3298b154f67"/>
    <w:p>
      <w:pPr>
        <w:pStyle w:val="Bibliography"/>
      </w:pPr>
      <w:r>
        <w:t xml:space="preserve">2.</w:t>
      </w:r>
      <w:r>
        <w:t xml:space="preserve"> </w:t>
      </w:r>
      <w:r>
        <w:t xml:space="preserve">	</w:t>
      </w:r>
      <w:r>
        <w:t xml:space="preserve">Chung EH, Chou J, Brown KA. Neurodevelopmental outcomes of preterm infants: A recent literature review.</w:t>
      </w:r>
      <w:r>
        <w:t xml:space="preserve"> </w:t>
      </w:r>
      <w:r>
        <w:rPr>
          <w:i/>
          <w:iCs/>
        </w:rPr>
        <w:t xml:space="preserve">Translational Pediatrics</w:t>
      </w:r>
      <w:r>
        <w:t xml:space="preserve">. 2020;9(S1):S3-S8. doi:</w:t>
      </w:r>
      <w:hyperlink r:id="rId85">
        <w:r>
          <w:rPr>
            <w:rStyle w:val="InternetLink"/>
          </w:rPr>
          <w:t xml:space="preserve">10.21037/tp.2019.09.10</w:t>
        </w:r>
      </w:hyperlink>
    </w:p>
    <w:bookmarkEnd w:id="86"/>
    <w:bookmarkStart w:id="88" w:name="X9335d2e6f599bbdf745a40bf9975435262f124a"/>
    <w:p>
      <w:pPr>
        <w:pStyle w:val="Bibliography"/>
      </w:pPr>
      <w:r>
        <w:t xml:space="preserve">3.</w:t>
      </w:r>
      <w:r>
        <w:t xml:space="preserve"> </w:t>
      </w:r>
      <w:r>
        <w:t xml:space="preserve">	</w:t>
      </w:r>
      <w:r>
        <w:t xml:space="preserve">Dhillon SK, Gunn ER, Lear BA, et al. Cerebral</w:t>
      </w:r>
      <w:r>
        <w:t xml:space="preserve"> </w:t>
      </w:r>
      <w:r>
        <w:t xml:space="preserve">Oxygenation</w:t>
      </w:r>
      <w:r>
        <w:t xml:space="preserve"> </w:t>
      </w:r>
      <w:r>
        <w:t xml:space="preserve">and</w:t>
      </w:r>
      <w:r>
        <w:t xml:space="preserve"> </w:t>
      </w:r>
      <w:r>
        <w:t xml:space="preserve">Metabolism After Hypoxia-Ischemia</w:t>
      </w:r>
      <w:r>
        <w:t xml:space="preserve">.</w:t>
      </w:r>
      <w:r>
        <w:t xml:space="preserve"> </w:t>
      </w:r>
      <w:r>
        <w:rPr>
          <w:i/>
          <w:iCs/>
        </w:rPr>
        <w:t xml:space="preserve">Frontiers in Pediatrics</w:t>
      </w:r>
      <w:r>
        <w:t xml:space="preserve">. 2022;10:925951. doi:</w:t>
      </w:r>
      <w:hyperlink r:id="rId87">
        <w:r>
          <w:rPr>
            <w:rStyle w:val="InternetLink"/>
          </w:rPr>
          <w:t xml:space="preserve">10.3389/fped.2022.925951</w:t>
        </w:r>
      </w:hyperlink>
    </w:p>
    <w:bookmarkEnd w:id="88"/>
    <w:bookmarkStart w:id="90" w:name="Xff91a2f14c61a6418e276f371ea3f7b77ccf7dc"/>
    <w:p>
      <w:pPr>
        <w:pStyle w:val="Bibliography"/>
      </w:pPr>
      <w:r>
        <w:t xml:space="preserve">4.</w:t>
      </w:r>
      <w:r>
        <w:t xml:space="preserve"> </w:t>
      </w:r>
      <w:r>
        <w:t xml:space="preserve">	</w:t>
      </w:r>
      <w:r>
        <w:t xml:space="preserve">McPherson C, Wambach JA. Prevention and</w:t>
      </w:r>
      <w:r>
        <w:t xml:space="preserve"> </w:t>
      </w:r>
      <w:r>
        <w:t xml:space="preserve">Treatment</w:t>
      </w:r>
      <w:r>
        <w:t xml:space="preserve"> </w:t>
      </w:r>
      <w:r>
        <w:t xml:space="preserve">of</w:t>
      </w:r>
      <w:r>
        <w:t xml:space="preserve"> </w:t>
      </w:r>
      <w:r>
        <w:t xml:space="preserve">Respiratory Distress Syndrome</w:t>
      </w:r>
      <w:r>
        <w:t xml:space="preserve"> </w:t>
      </w:r>
      <w:r>
        <w:t xml:space="preserve">in</w:t>
      </w:r>
      <w:r>
        <w:t xml:space="preserve"> </w:t>
      </w:r>
      <w:r>
        <w:t xml:space="preserve">Preterm Neonates</w:t>
      </w:r>
      <w:r>
        <w:t xml:space="preserve">.</w:t>
      </w:r>
      <w:r>
        <w:t xml:space="preserve"> </w:t>
      </w:r>
      <w:r>
        <w:rPr>
          <w:i/>
          <w:iCs/>
        </w:rPr>
        <w:t xml:space="preserve">Neonatal Network</w:t>
      </w:r>
      <w:r>
        <w:t xml:space="preserve">. 2018;37(3):169-177. doi:</w:t>
      </w:r>
      <w:hyperlink r:id="rId89">
        <w:r>
          <w:rPr>
            <w:rStyle w:val="InternetLink"/>
          </w:rPr>
          <w:t xml:space="preserve">10.1891/0730-0832.37.3.169</w:t>
        </w:r>
      </w:hyperlink>
    </w:p>
    <w:bookmarkEnd w:id="90"/>
    <w:bookmarkStart w:id="92" w:name="X172fb1fdd23651dc6741de6587a41ea988f83eb"/>
    <w:p>
      <w:pPr>
        <w:pStyle w:val="Bibliography"/>
      </w:pPr>
      <w:r>
        <w:t xml:space="preserve">5.</w:t>
      </w:r>
      <w:r>
        <w:t xml:space="preserve"> </w:t>
      </w:r>
      <w:r>
        <w:t xml:space="preserve">	</w:t>
      </w:r>
      <w:r>
        <w:t xml:space="preserve">Yoder BA, Albertine KH, Null DM. High-frequency ventilation for non-invasive respiratory support of neonates.</w:t>
      </w:r>
      <w:r>
        <w:t xml:space="preserve"> </w:t>
      </w:r>
      <w:r>
        <w:rPr>
          <w:i/>
          <w:iCs/>
        </w:rPr>
        <w:t xml:space="preserve">Seminars in Fetal and Neonatal Medicine</w:t>
      </w:r>
      <w:r>
        <w:t xml:space="preserve">. 2016;21(3):162-173. doi:</w:t>
      </w:r>
      <w:hyperlink r:id="rId91">
        <w:r>
          <w:rPr>
            <w:rStyle w:val="InternetLink"/>
          </w:rPr>
          <w:t xml:space="preserve">10.1016/j.siny.2016.02.001</w:t>
        </w:r>
      </w:hyperlink>
    </w:p>
    <w:bookmarkEnd w:id="92"/>
    <w:bookmarkStart w:id="94" w:name="Xf5954c1a41bc8f64fcffa2f715376dade608fc2"/>
    <w:p>
      <w:pPr>
        <w:pStyle w:val="Bibliography"/>
      </w:pPr>
      <w:r>
        <w:t xml:space="preserve">6.</w:t>
      </w:r>
      <w:r>
        <w:t xml:space="preserve"> </w:t>
      </w:r>
      <w:r>
        <w:t xml:space="preserve">	</w:t>
      </w:r>
      <w:r>
        <w:t xml:space="preserve">Cannavò L, Rulli I, Falsaperla R, Corsello G, Gitto E. Ventilation, oxidative stress and risk of brain injury in preterm newborn.</w:t>
      </w:r>
      <w:r>
        <w:t xml:space="preserve"> </w:t>
      </w:r>
      <w:r>
        <w:rPr>
          <w:i/>
          <w:iCs/>
        </w:rPr>
        <w:t xml:space="preserve">Italian Journal of Pediatrics</w:t>
      </w:r>
      <w:r>
        <w:t xml:space="preserve">. 2020;46(1):100. doi:</w:t>
      </w:r>
      <w:hyperlink r:id="rId93">
        <w:r>
          <w:rPr>
            <w:rStyle w:val="InternetLink"/>
          </w:rPr>
          <w:t xml:space="preserve">10.1186/s13052-020-00852-1</w:t>
        </w:r>
      </w:hyperlink>
    </w:p>
    <w:bookmarkEnd w:id="94"/>
    <w:bookmarkStart w:id="96" w:name="X4d91f45b5057d30d318cd63b0c4d73a7114799a"/>
    <w:p>
      <w:pPr>
        <w:pStyle w:val="Bibliography"/>
      </w:pPr>
      <w:r>
        <w:t xml:space="preserve">7.</w:t>
      </w:r>
      <w:r>
        <w:t xml:space="preserve"> </w:t>
      </w:r>
      <w:r>
        <w:t xml:space="preserve">	</w:t>
      </w:r>
      <w:r>
        <w:t xml:space="preserve">Guillot M, Guo T, Ufkes S, et al. Mechanical</w:t>
      </w:r>
      <w:r>
        <w:t xml:space="preserve"> </w:t>
      </w:r>
      <w:r>
        <w:t xml:space="preserve">Ventilation Duration</w:t>
      </w:r>
      <w:r>
        <w:t xml:space="preserve">,</w:t>
      </w:r>
      <w:r>
        <w:t xml:space="preserve"> </w:t>
      </w:r>
      <w:r>
        <w:t xml:space="preserve">Brainstem Development</w:t>
      </w:r>
      <w:r>
        <w:t xml:space="preserve">, and</w:t>
      </w:r>
      <w:r>
        <w:t xml:space="preserve"> </w:t>
      </w:r>
      <w:r>
        <w:t xml:space="preserve">Neurodevelopment</w:t>
      </w:r>
      <w:r>
        <w:t xml:space="preserve"> </w:t>
      </w:r>
      <w:r>
        <w:t xml:space="preserve">in</w:t>
      </w:r>
      <w:r>
        <w:t xml:space="preserve"> </w:t>
      </w:r>
      <w:r>
        <w:t xml:space="preserve">Children Born Preterm</w:t>
      </w:r>
      <w:r>
        <w:t xml:space="preserve">:</w:t>
      </w:r>
      <w:r>
        <w:t xml:space="preserve"> </w:t>
      </w:r>
      <w:r>
        <w:t xml:space="preserve">A Prospective Cohort Study</w:t>
      </w:r>
      <w:r>
        <w:t xml:space="preserve">.</w:t>
      </w:r>
      <w:r>
        <w:t xml:space="preserve"> </w:t>
      </w:r>
      <w:r>
        <w:rPr>
          <w:i/>
          <w:iCs/>
        </w:rPr>
        <w:t xml:space="preserve">The Journal of Pediatrics</w:t>
      </w:r>
      <w:r>
        <w:t xml:space="preserve">. 2020;226:87-95.e3. doi:</w:t>
      </w:r>
      <w:hyperlink r:id="rId95">
        <w:r>
          <w:rPr>
            <w:rStyle w:val="InternetLink"/>
          </w:rPr>
          <w:t xml:space="preserve">10.1016/j.jpeds.2020.05.039</w:t>
        </w:r>
      </w:hyperlink>
    </w:p>
    <w:bookmarkEnd w:id="96"/>
    <w:bookmarkStart w:id="98" w:name="X17177f5ed791783ca27db020c5c018d99797a2f"/>
    <w:p>
      <w:pPr>
        <w:pStyle w:val="Bibliography"/>
      </w:pPr>
      <w:r>
        <w:t xml:space="preserve">8.</w:t>
      </w:r>
      <w:r>
        <w:t xml:space="preserve"> </w:t>
      </w:r>
      <w:r>
        <w:t xml:space="preserve">	</w:t>
      </w:r>
      <w:r>
        <w:t xml:space="preserve">Kalikkot Thekkeveedu R, El-Saie A, Prakash V, Katakam L, Shivanna B. Ventilation-</w:t>
      </w:r>
      <w:r>
        <w:t xml:space="preserve">Induced Lung Injury</w:t>
      </w:r>
      <w:r>
        <w:t xml:space="preserve"> </w:t>
      </w:r>
      <w:r>
        <w:t xml:space="preserve">(</w:t>
      </w:r>
      <w:r>
        <w:t xml:space="preserve">VILI</w:t>
      </w:r>
      <w:r>
        <w:t xml:space="preserve">) in</w:t>
      </w:r>
      <w:r>
        <w:t xml:space="preserve"> </w:t>
      </w:r>
      <w:r>
        <w:t xml:space="preserve">Neonates</w:t>
      </w:r>
      <w:r>
        <w:t xml:space="preserve">:</w:t>
      </w:r>
      <w:r>
        <w:t xml:space="preserve"> </w:t>
      </w:r>
      <w:r>
        <w:t xml:space="preserve">Evidence-Based Concepts</w:t>
      </w:r>
      <w:r>
        <w:t xml:space="preserve"> </w:t>
      </w:r>
      <w:r>
        <w:t xml:space="preserve">and</w:t>
      </w:r>
      <w:r>
        <w:t xml:space="preserve"> </w:t>
      </w:r>
      <w:r>
        <w:t xml:space="preserve">Lung-Protective Strategies</w:t>
      </w:r>
      <w:r>
        <w:t xml:space="preserve">.</w:t>
      </w:r>
      <w:r>
        <w:t xml:space="preserve"> </w:t>
      </w:r>
      <w:r>
        <w:rPr>
          <w:i/>
          <w:iCs/>
        </w:rPr>
        <w:t xml:space="preserve">Journal of Clinical Medicine</w:t>
      </w:r>
      <w:r>
        <w:t xml:space="preserve">. 2022;11(3):557. doi:</w:t>
      </w:r>
      <w:hyperlink r:id="rId97">
        <w:r>
          <w:rPr>
            <w:rStyle w:val="InternetLink"/>
          </w:rPr>
          <w:t xml:space="preserve">10.3390/jcm11030557</w:t>
        </w:r>
      </w:hyperlink>
    </w:p>
    <w:bookmarkEnd w:id="98"/>
    <w:bookmarkStart w:id="100" w:name="ref-hoContinuousPositiveAirway2020"/>
    <w:p>
      <w:pPr>
        <w:pStyle w:val="Bibliography"/>
      </w:pPr>
      <w:r>
        <w:t xml:space="preserve">9.</w:t>
      </w:r>
      <w:r>
        <w:t xml:space="preserve"> </w:t>
      </w:r>
      <w:r>
        <w:t xml:space="preserve">	</w:t>
      </w:r>
      <w:r>
        <w:t xml:space="preserve">Ho JJ, Subramaniam P, Davis PG. Continuous positive airway pressure (</w:t>
      </w:r>
      <w:r>
        <w:t xml:space="preserve">CPAP</w:t>
      </w:r>
      <w:r>
        <w:t xml:space="preserve">) for respiratory distress in preterm infants. Cochrane Neonatal Group, ed.</w:t>
      </w:r>
      <w:r>
        <w:t xml:space="preserve"> </w:t>
      </w:r>
      <w:r>
        <w:rPr>
          <w:i/>
          <w:iCs/>
        </w:rPr>
        <w:t xml:space="preserve">Cochrane Database of Systematic Reviews</w:t>
      </w:r>
      <w:r>
        <w:t xml:space="preserve">. 2020;2020(10). doi:</w:t>
      </w:r>
      <w:hyperlink r:id="rId99">
        <w:r>
          <w:rPr>
            <w:rStyle w:val="InternetLink"/>
          </w:rPr>
          <w:t xml:space="preserve">10.1002/14651858.CD002271.pub3</w:t>
        </w:r>
      </w:hyperlink>
    </w:p>
    <w:bookmarkEnd w:id="100"/>
    <w:bookmarkStart w:id="102" w:name="Xe77bc4e6876b6afa50becd1c0e795c1fd8f7e3a"/>
    <w:p>
      <w:pPr>
        <w:pStyle w:val="Bibliography"/>
      </w:pPr>
      <w:r>
        <w:t xml:space="preserve">10.</w:t>
      </w:r>
      <w:r>
        <w:t xml:space="preserve"> </w:t>
      </w:r>
      <w:r>
        <w:t xml:space="preserve">	</w:t>
      </w:r>
      <w:r>
        <w:t xml:space="preserve">Ackermann BW, Klotz D, Hentschel R, Thome UH, Van Kaam AH. High-frequency ventilation in preterm infants and neonates.</w:t>
      </w:r>
      <w:r>
        <w:t xml:space="preserve"> </w:t>
      </w:r>
      <w:r>
        <w:rPr>
          <w:i/>
          <w:iCs/>
        </w:rPr>
        <w:t xml:space="preserve">Pediatric Research</w:t>
      </w:r>
      <w:r>
        <w:t xml:space="preserve">. 2023;93(7):1810-1818. doi:</w:t>
      </w:r>
      <w:hyperlink r:id="rId101">
        <w:r>
          <w:rPr>
            <w:rStyle w:val="InternetLink"/>
          </w:rPr>
          <w:t xml:space="preserve">10.1038/s41390-021-01639-8</w:t>
        </w:r>
      </w:hyperlink>
    </w:p>
    <w:bookmarkEnd w:id="102"/>
    <w:bookmarkStart w:id="104" w:name="X7a3f079fe84eb388b22a986b9ec76d1f2281832"/>
    <w:p>
      <w:pPr>
        <w:pStyle w:val="Bibliography"/>
      </w:pPr>
      <w:r>
        <w:t xml:space="preserve">11.</w:t>
      </w:r>
      <w:r>
        <w:t xml:space="preserve"> </w:t>
      </w:r>
      <w:r>
        <w:t xml:space="preserve">	</w:t>
      </w:r>
      <w:r>
        <w:t xml:space="preserve">Shi Y, Tang S, Zhao J, Shen J. A prospective, randomized, controlled study of</w:t>
      </w:r>
      <w:r>
        <w:t xml:space="preserve"> </w:t>
      </w:r>
      <w:r>
        <w:t xml:space="preserve">NIPPV</w:t>
      </w:r>
      <w:r>
        <w:t xml:space="preserve"> </w:t>
      </w:r>
      <w:r>
        <w:t xml:space="preserve">versus</w:t>
      </w:r>
      <w:r>
        <w:t xml:space="preserve"> </w:t>
      </w:r>
      <w:r>
        <w:t xml:space="preserve">nCPAP</w:t>
      </w:r>
      <w:r>
        <w:t xml:space="preserve"> </w:t>
      </w:r>
      <w:r>
        <w:t xml:space="preserve">in preterm and term infants with respiratory distress syndrome:</w:t>
      </w:r>
      <w:r>
        <w:t xml:space="preserve"> </w:t>
      </w:r>
      <w:r>
        <w:t xml:space="preserve">NIPPV</w:t>
      </w:r>
      <w:r>
        <w:t xml:space="preserve"> </w:t>
      </w:r>
      <w:r>
        <w:t xml:space="preserve">vs.</w:t>
      </w:r>
      <w:r>
        <w:t xml:space="preserve"> </w:t>
      </w:r>
      <w:r>
        <w:t xml:space="preserve">nCPAP</w:t>
      </w:r>
      <w:r>
        <w:t xml:space="preserve"> </w:t>
      </w:r>
      <w:r>
        <w:t xml:space="preserve">in</w:t>
      </w:r>
      <w:r>
        <w:t xml:space="preserve"> </w:t>
      </w:r>
      <w:r>
        <w:t xml:space="preserve">Preterm</w:t>
      </w:r>
      <w:r>
        <w:t xml:space="preserve"> </w:t>
      </w:r>
      <w:r>
        <w:t xml:space="preserve">and</w:t>
      </w:r>
      <w:r>
        <w:t xml:space="preserve"> </w:t>
      </w:r>
      <w:r>
        <w:t xml:space="preserve">Term Infants</w:t>
      </w:r>
      <w:r>
        <w:t xml:space="preserve">.</w:t>
      </w:r>
      <w:r>
        <w:t xml:space="preserve"> </w:t>
      </w:r>
      <w:r>
        <w:rPr>
          <w:i/>
          <w:iCs/>
        </w:rPr>
        <w:t xml:space="preserve">Pediatric Pulmonology</w:t>
      </w:r>
      <w:r>
        <w:t xml:space="preserve">. 2014;49(7):673-678. doi:</w:t>
      </w:r>
      <w:hyperlink r:id="rId103">
        <w:r>
          <w:rPr>
            <w:rStyle w:val="InternetLink"/>
          </w:rPr>
          <w:t xml:space="preserve">10.1002/ppul.22883</w:t>
        </w:r>
      </w:hyperlink>
    </w:p>
    <w:bookmarkEnd w:id="104"/>
    <w:bookmarkStart w:id="106" w:name="X5f47b03496275f5cf62c7dc30aeb64748019e51"/>
    <w:p>
      <w:pPr>
        <w:pStyle w:val="Bibliography"/>
      </w:pPr>
      <w:r>
        <w:t xml:space="preserve">12.</w:t>
      </w:r>
      <w:r>
        <w:t xml:space="preserve"> </w:t>
      </w:r>
      <w:r>
        <w:t xml:space="preserve">	</w:t>
      </w:r>
      <w:r>
        <w:t xml:space="preserve">Dumpa V, Bhandari V. Non-</w:t>
      </w:r>
      <w:r>
        <w:t xml:space="preserve">Invasive Ventilatory Strategies</w:t>
      </w:r>
      <w:r>
        <w:t xml:space="preserve"> </w:t>
      </w:r>
      <w:r>
        <w:t xml:space="preserve">to</w:t>
      </w:r>
      <w:r>
        <w:t xml:space="preserve"> </w:t>
      </w:r>
      <w:r>
        <w:t xml:space="preserve">Decrease Bronchopulmonary Dysplasia</w:t>
      </w:r>
      <w:r>
        <w:t xml:space="preserve">—</w:t>
      </w:r>
      <w:r>
        <w:t xml:space="preserve">Where Are We</w:t>
      </w:r>
      <w:r>
        <w:t xml:space="preserve"> </w:t>
      </w:r>
      <w:r>
        <w:t xml:space="preserve">in 2021?</w:t>
      </w:r>
      <w:r>
        <w:t xml:space="preserve"> </w:t>
      </w:r>
      <w:r>
        <w:rPr>
          <w:i/>
          <w:iCs/>
        </w:rPr>
        <w:t xml:space="preserve">Children</w:t>
      </w:r>
      <w:r>
        <w:t xml:space="preserve">. 2021;8(2):132. doi:</w:t>
      </w:r>
      <w:hyperlink r:id="rId105">
        <w:r>
          <w:rPr>
            <w:rStyle w:val="InternetLink"/>
          </w:rPr>
          <w:t xml:space="preserve">10.3390/children8020132</w:t>
        </w:r>
      </w:hyperlink>
    </w:p>
    <w:bookmarkEnd w:id="106"/>
    <w:bookmarkStart w:id="108" w:name="Xcce62df900bdffd51b66809ba7d70ca084cdd44"/>
    <w:p>
      <w:pPr>
        <w:pStyle w:val="Bibliography"/>
      </w:pPr>
      <w:r>
        <w:t xml:space="preserve">13.</w:t>
      </w:r>
      <w:r>
        <w:t xml:space="preserve"> </w:t>
      </w:r>
      <w:r>
        <w:t xml:space="preserve">	</w:t>
      </w:r>
      <w:r>
        <w:t xml:space="preserve">Brown MK, DiBlasi RM. Mechanical</w:t>
      </w:r>
      <w:r>
        <w:t xml:space="preserve"> </w:t>
      </w:r>
      <w:r>
        <w:t xml:space="preserve">Ventilation</w:t>
      </w:r>
      <w:r>
        <w:t xml:space="preserve"> </w:t>
      </w:r>
      <w:r>
        <w:t xml:space="preserve">of the</w:t>
      </w:r>
      <w:r>
        <w:t xml:space="preserve"> </w:t>
      </w:r>
      <w:r>
        <w:t xml:space="preserve">Premature Neonate</w:t>
      </w:r>
      <w:r>
        <w:t xml:space="preserve">.</w:t>
      </w:r>
      <w:r>
        <w:t xml:space="preserve"> </w:t>
      </w:r>
      <w:r>
        <w:rPr>
          <w:i/>
          <w:iCs/>
        </w:rPr>
        <w:t xml:space="preserve">Respiratory Care</w:t>
      </w:r>
      <w:r>
        <w:t xml:space="preserve">. 2011;56(9):1298-1313. doi:</w:t>
      </w:r>
      <w:hyperlink r:id="rId107">
        <w:r>
          <w:rPr>
            <w:rStyle w:val="InternetLink"/>
          </w:rPr>
          <w:t xml:space="preserve">10.4187/respcare.01429</w:t>
        </w:r>
      </w:hyperlink>
    </w:p>
    <w:bookmarkEnd w:id="108"/>
    <w:bookmarkStart w:id="110" w:name="X2d6dfc42356c7b2095ef4ad434cfb1f410cadb6"/>
    <w:p>
      <w:pPr>
        <w:pStyle w:val="Bibliography"/>
      </w:pPr>
      <w:r>
        <w:t xml:space="preserve">14.</w:t>
      </w:r>
      <w:r>
        <w:t xml:space="preserve"> </w:t>
      </w:r>
      <w:r>
        <w:t xml:space="preserve">	</w:t>
      </w:r>
      <w:r>
        <w:t xml:space="preserve">Greenough A, Sharma A. Optimal strategies for newborn ventilation—a synthesis of the evidence.</w:t>
      </w:r>
      <w:r>
        <w:t xml:space="preserve"> </w:t>
      </w:r>
      <w:r>
        <w:rPr>
          <w:i/>
          <w:iCs/>
        </w:rPr>
        <w:t xml:space="preserve">Early Human Development</w:t>
      </w:r>
      <w:r>
        <w:t xml:space="preserve">. 2005;81(12):957-964. doi:</w:t>
      </w:r>
      <w:hyperlink r:id="rId109">
        <w:r>
          <w:rPr>
            <w:rStyle w:val="InternetLink"/>
          </w:rPr>
          <w:t xml:space="preserve">10.1016/j.earlhumdev.2005.10.002</w:t>
        </w:r>
      </w:hyperlink>
    </w:p>
    <w:bookmarkEnd w:id="110"/>
    <w:bookmarkStart w:id="112" w:name="X097239e0b06c4d8d11cb3da31d7f55bf3b4455c"/>
    <w:p>
      <w:pPr>
        <w:pStyle w:val="Bibliography"/>
      </w:pPr>
      <w:r>
        <w:t xml:space="preserve">15.</w:t>
      </w:r>
      <w:r>
        <w:t xml:space="preserve"> </w:t>
      </w:r>
      <w:r>
        <w:t xml:space="preserve">	</w:t>
      </w:r>
      <w:r>
        <w:t xml:space="preserve">Ramaswamy VV, More K, Roehr CC, Bandiya P, Nangia S. Efficacy of noninvasive respiratory support modes for primary respiratory support in preterm neonates with respiratory distress syndrome:</w:t>
      </w:r>
      <w:r>
        <w:t xml:space="preserve"> </w:t>
      </w:r>
      <w:r>
        <w:t xml:space="preserve">Systematic</w:t>
      </w:r>
      <w:r>
        <w:t xml:space="preserve"> </w:t>
      </w:r>
      <w:r>
        <w:t xml:space="preserve">review and network meta-analysis.</w:t>
      </w:r>
      <w:r>
        <w:t xml:space="preserve"> </w:t>
      </w:r>
      <w:r>
        <w:rPr>
          <w:i/>
          <w:iCs/>
        </w:rPr>
        <w:t xml:space="preserve">Pediatric Pulmonology</w:t>
      </w:r>
      <w:r>
        <w:t xml:space="preserve">. 2020;55(11):2940-2963. doi:</w:t>
      </w:r>
      <w:hyperlink r:id="rId111">
        <w:r>
          <w:rPr>
            <w:rStyle w:val="InternetLink"/>
          </w:rPr>
          <w:t xml:space="preserve">10.1002/ppul.25011</w:t>
        </w:r>
      </w:hyperlink>
    </w:p>
    <w:bookmarkEnd w:id="112"/>
    <w:bookmarkStart w:id="114" w:name="X01f6047c9acca0e1aad4af34c021ee220050765"/>
    <w:p>
      <w:pPr>
        <w:pStyle w:val="Bibliography"/>
      </w:pPr>
      <w:r>
        <w:t xml:space="preserve">16.</w:t>
      </w:r>
      <w:r>
        <w:t xml:space="preserve"> </w:t>
      </w:r>
      <w:r>
        <w:t xml:space="preserve">	</w:t>
      </w:r>
      <w:r>
        <w:t xml:space="preserve">Kollisch-Singule M, Ramcharran H, Satalin J, et al. Mechanical</w:t>
      </w:r>
      <w:r>
        <w:t xml:space="preserve"> </w:t>
      </w:r>
      <w:r>
        <w:t xml:space="preserve">Ventilation</w:t>
      </w:r>
      <w:r>
        <w:t xml:space="preserve"> </w:t>
      </w:r>
      <w:r>
        <w:t xml:space="preserve">in</w:t>
      </w:r>
      <w:r>
        <w:t xml:space="preserve"> </w:t>
      </w:r>
      <w:r>
        <w:t xml:space="preserve">Pediatric</w:t>
      </w:r>
      <w:r>
        <w:t xml:space="preserve"> </w:t>
      </w:r>
      <w:r>
        <w:t xml:space="preserve">and</w:t>
      </w:r>
      <w:r>
        <w:t xml:space="preserve"> </w:t>
      </w:r>
      <w:r>
        <w:t xml:space="preserve">Neonatal Patients</w:t>
      </w:r>
      <w:r>
        <w:t xml:space="preserve">.</w:t>
      </w:r>
      <w:r>
        <w:t xml:space="preserve"> </w:t>
      </w:r>
      <w:r>
        <w:rPr>
          <w:i/>
          <w:iCs/>
        </w:rPr>
        <w:t xml:space="preserve">Frontiers in Physiology</w:t>
      </w:r>
      <w:r>
        <w:t xml:space="preserve">. 2022;12:805620. doi:</w:t>
      </w:r>
      <w:hyperlink r:id="rId113">
        <w:r>
          <w:rPr>
            <w:rStyle w:val="InternetLink"/>
          </w:rPr>
          <w:t xml:space="preserve">10.3389/fphys.2021.805620</w:t>
        </w:r>
      </w:hyperlink>
    </w:p>
    <w:bookmarkEnd w:id="114"/>
    <w:bookmarkStart w:id="116" w:name="Xdd87e6070759e3a175623de62eea38ae2bbb5d8"/>
    <w:p>
      <w:pPr>
        <w:pStyle w:val="Bibliography"/>
      </w:pPr>
      <w:r>
        <w:t xml:space="preserve">17.</w:t>
      </w:r>
      <w:r>
        <w:t xml:space="preserve"> </w:t>
      </w:r>
      <w:r>
        <w:t xml:space="preserve">	</w:t>
      </w:r>
      <w:r>
        <w:t xml:space="preserve">Lu H, Ge Y. Quantitative evaluation of oxygenation in venous vessels using</w:t>
      </w:r>
      <w:r>
        <w:t xml:space="preserve"> </w:t>
      </w:r>
      <w:r>
        <w:t xml:space="preserve">T2-Relaxation-Under-Spin-Tagging MRI</w:t>
      </w:r>
      <w:r>
        <w:t xml:space="preserve">.</w:t>
      </w:r>
      <w:r>
        <w:t xml:space="preserve"> </w:t>
      </w:r>
      <w:r>
        <w:rPr>
          <w:i/>
          <w:iCs/>
        </w:rPr>
        <w:t xml:space="preserve">Magnetic Resonance in Medicine</w:t>
      </w:r>
      <w:r>
        <w:t xml:space="preserve">. 2008;60(2):357-363. doi:</w:t>
      </w:r>
      <w:hyperlink r:id="rId115">
        <w:r>
          <w:rPr>
            <w:rStyle w:val="InternetLink"/>
          </w:rPr>
          <w:t xml:space="preserve">10.1002/mrm.21627</w:t>
        </w:r>
      </w:hyperlink>
    </w:p>
    <w:bookmarkEnd w:id="116"/>
    <w:bookmarkStart w:id="118" w:name="Xac8b31d5d63c6848af93bee355903810fe6affa"/>
    <w:p>
      <w:pPr>
        <w:pStyle w:val="Bibliography"/>
      </w:pPr>
      <w:r>
        <w:t xml:space="preserve">18.</w:t>
      </w:r>
      <w:r>
        <w:t xml:space="preserve"> </w:t>
      </w:r>
      <w:r>
        <w:t xml:space="preserve">	</w:t>
      </w:r>
      <w:r>
        <w:t xml:space="preserve">Xu F, Ge Y, Lu H. Noninvasive quantification of whole-brain cerebral metabolic rate of oxygen (</w:t>
      </w:r>
      <w:r>
        <w:t xml:space="preserve">CMRO2</w:t>
      </w:r>
      <w:r>
        <w:t xml:space="preserve">) by</w:t>
      </w:r>
      <w:r>
        <w:t xml:space="preserve"> </w:t>
      </w:r>
      <w:r>
        <w:t xml:space="preserve">MRI</w:t>
      </w:r>
      <w:r>
        <w:t xml:space="preserve">.</w:t>
      </w:r>
      <w:r>
        <w:t xml:space="preserve"> </w:t>
      </w:r>
      <w:r>
        <w:rPr>
          <w:i/>
          <w:iCs/>
        </w:rPr>
        <w:t xml:space="preserve">Magnetic Resonance in Medicine</w:t>
      </w:r>
      <w:r>
        <w:t xml:space="preserve">. 2009;62(1):141-148. doi:</w:t>
      </w:r>
      <w:hyperlink r:id="rId117">
        <w:r>
          <w:rPr>
            <w:rStyle w:val="InternetLink"/>
          </w:rPr>
          <w:t xml:space="preserve">10.1002/mrm.21994</w:t>
        </w:r>
      </w:hyperlink>
    </w:p>
    <w:bookmarkEnd w:id="118"/>
    <w:bookmarkStart w:id="120" w:name="ref-liuQuantitativeAssessmentGlobal2014"/>
    <w:p>
      <w:pPr>
        <w:pStyle w:val="Bibliography"/>
      </w:pPr>
      <w:r>
        <w:t xml:space="preserve">19.</w:t>
      </w:r>
      <w:r>
        <w:t xml:space="preserve"> </w:t>
      </w:r>
      <w:r>
        <w:t xml:space="preserve">	</w:t>
      </w:r>
      <w:r>
        <w:t xml:space="preserve">Liu P, Huang H, Rollins N, et al. Quantitative assessment of global cerebral metabolic rate of oxygen (</w:t>
      </w:r>
      <w:r>
        <w:t xml:space="preserve">CMRO2</w:t>
      </w:r>
      <w:r>
        <w:t xml:space="preserve">) in neonates using</w:t>
      </w:r>
      <w:r>
        <w:t xml:space="preserve"> </w:t>
      </w:r>
      <w:r>
        <w:t xml:space="preserve">MRI</w:t>
      </w:r>
      <w:r>
        <w:t xml:space="preserve">.</w:t>
      </w:r>
      <w:r>
        <w:t xml:space="preserve"> </w:t>
      </w:r>
      <w:r>
        <w:rPr>
          <w:i/>
          <w:iCs/>
        </w:rPr>
        <w:t xml:space="preserve">NMR in biomedicine</w:t>
      </w:r>
      <w:r>
        <w:t xml:space="preserve">. 2014;27(3):332-340. doi:</w:t>
      </w:r>
      <w:hyperlink r:id="rId119">
        <w:r>
          <w:rPr>
            <w:rStyle w:val="InternetLink"/>
          </w:rPr>
          <w:t xml:space="preserve">10.1002/nbm.3067</w:t>
        </w:r>
      </w:hyperlink>
    </w:p>
    <w:bookmarkEnd w:id="120"/>
    <w:bookmarkStart w:id="122" w:name="ref-qiHemodynamicMetabolicAssessment2018"/>
    <w:p>
      <w:pPr>
        <w:pStyle w:val="Bibliography"/>
      </w:pPr>
      <w:r>
        <w:t xml:space="preserve">20.</w:t>
      </w:r>
      <w:r>
        <w:t xml:space="preserve"> </w:t>
      </w:r>
      <w:r>
        <w:t xml:space="preserve">	</w:t>
      </w:r>
      <w:r>
        <w:t xml:space="preserve">Qi Y, Liu P, Lin Z, Lu H, Wang X. Hemodynamic and</w:t>
      </w:r>
      <w:r>
        <w:t xml:space="preserve"> </w:t>
      </w:r>
      <w:r>
        <w:t xml:space="preserve">Metabolic Assessment</w:t>
      </w:r>
      <w:r>
        <w:t xml:space="preserve"> </w:t>
      </w:r>
      <w:r>
        <w:t xml:space="preserve">of</w:t>
      </w:r>
      <w:r>
        <w:t xml:space="preserve"> </w:t>
      </w:r>
      <w:r>
        <w:t xml:space="preserve">Neonates With Punctate White Matter Lesions Using Phase-Contrast MRI</w:t>
      </w:r>
      <w:r>
        <w:t xml:space="preserve"> </w:t>
      </w:r>
      <w:r>
        <w:t xml:space="preserve">and</w:t>
      </w:r>
      <w:r>
        <w:t xml:space="preserve"> </w:t>
      </w:r>
      <w:r>
        <w:t xml:space="preserve">T2-Relaxation-Under-Spin-Tagging</w:t>
      </w:r>
      <w:r>
        <w:t xml:space="preserve"> </w:t>
      </w:r>
      <w:r>
        <w:t xml:space="preserve">(</w:t>
      </w:r>
      <w:r>
        <w:t xml:space="preserve">TRUST</w:t>
      </w:r>
      <w:r>
        <w:t xml:space="preserve">)</w:t>
      </w:r>
      <w:r>
        <w:t xml:space="preserve"> </w:t>
      </w:r>
      <w:r>
        <w:t xml:space="preserve">MRI</w:t>
      </w:r>
      <w:r>
        <w:t xml:space="preserve">.</w:t>
      </w:r>
      <w:r>
        <w:t xml:space="preserve"> </w:t>
      </w:r>
      <w:r>
        <w:rPr>
          <w:i/>
          <w:iCs/>
        </w:rPr>
        <w:t xml:space="preserve">Frontiers in Physiology</w:t>
      </w:r>
      <w:r>
        <w:t xml:space="preserve">. 2018;9:233. doi:</w:t>
      </w:r>
      <w:hyperlink r:id="rId121">
        <w:r>
          <w:rPr>
            <w:rStyle w:val="InternetLink"/>
          </w:rPr>
          <w:t xml:space="preserve">10.3389/fphys.2018.00233</w:t>
        </w:r>
      </w:hyperlink>
    </w:p>
    <w:bookmarkEnd w:id="122"/>
    <w:bookmarkStart w:id="124" w:name="ref-jainRapidMagneticResonance2011"/>
    <w:p>
      <w:pPr>
        <w:pStyle w:val="Bibliography"/>
      </w:pPr>
      <w:r>
        <w:t xml:space="preserve">21.</w:t>
      </w:r>
      <w:r>
        <w:t xml:space="preserve"> </w:t>
      </w:r>
      <w:r>
        <w:t xml:space="preserve">	</w:t>
      </w:r>
      <w:r>
        <w:t xml:space="preserve">Jain V, Langham MC, Floyd TF, Jain G, Magland JF, Wehrli FW. Rapid magnetic resonance measurement of global cerebral metabolic rate of oxygen consumption in humans during rest and hypercapnia.</w:t>
      </w:r>
      <w:r>
        <w:t xml:space="preserve"> </w:t>
      </w:r>
      <w:r>
        <w:rPr>
          <w:i/>
          <w:iCs/>
        </w:rPr>
        <w:t xml:space="preserve">Journal of Cerebral Blood Flow &amp; Metabolism</w:t>
      </w:r>
      <w:r>
        <w:t xml:space="preserve">. 2011;31(7):1504-1512. doi:</w:t>
      </w:r>
      <w:hyperlink r:id="rId123">
        <w:r>
          <w:rPr>
            <w:rStyle w:val="InternetLink"/>
          </w:rPr>
          <w:t xml:space="preserve">10.1038/jcbfm.2011.34</w:t>
        </w:r>
      </w:hyperlink>
    </w:p>
    <w:bookmarkEnd w:id="124"/>
    <w:bookmarkStart w:id="126" w:name="ref-jainCerebralOxygenMetabolism2014"/>
    <w:p>
      <w:pPr>
        <w:pStyle w:val="Bibliography"/>
      </w:pPr>
      <w:r>
        <w:t xml:space="preserve">22.</w:t>
      </w:r>
      <w:r>
        <w:t xml:space="preserve"> </w:t>
      </w:r>
      <w:r>
        <w:t xml:space="preserve">	</w:t>
      </w:r>
      <w:r>
        <w:t xml:space="preserve">Jain V, Buckley EM, Licht DJ, et al. Cerebral oxygen metabolism in neonates with congenital heart disease quantified by</w:t>
      </w:r>
      <w:r>
        <w:t xml:space="preserve"> </w:t>
      </w:r>
      <w:r>
        <w:t xml:space="preserve">MRI</w:t>
      </w:r>
      <w:r>
        <w:t xml:space="preserve"> </w:t>
      </w:r>
      <w:r>
        <w:t xml:space="preserve">and optics.</w:t>
      </w:r>
      <w:r>
        <w:t xml:space="preserve"> </w:t>
      </w:r>
      <w:r>
        <w:rPr>
          <w:i/>
          <w:iCs/>
        </w:rPr>
        <w:t xml:space="preserve">Journal of Cerebral Blood Flow and Metabolism: Official Journal of the International Society of Cerebral Blood Flow and Metabolism</w:t>
      </w:r>
      <w:r>
        <w:t xml:space="preserve">. 2014;34(3):380-388. doi:</w:t>
      </w:r>
      <w:hyperlink r:id="rId125">
        <w:r>
          <w:rPr>
            <w:rStyle w:val="InternetLink"/>
          </w:rPr>
          <w:t xml:space="preserve">10.1038/jcbfm.2013.214</w:t>
        </w:r>
      </w:hyperlink>
    </w:p>
    <w:bookmarkEnd w:id="126"/>
    <w:bookmarkStart w:id="128" w:name="ref-petersenModelfreeArterialSpin2006"/>
    <w:p>
      <w:pPr>
        <w:pStyle w:val="Bibliography"/>
      </w:pPr>
      <w:r>
        <w:t xml:space="preserve">23.</w:t>
      </w:r>
      <w:r>
        <w:t xml:space="preserve"> </w:t>
      </w:r>
      <w:r>
        <w:t xml:space="preserve">	</w:t>
      </w:r>
      <w:r>
        <w:t xml:space="preserve">Petersen ET, Lim T, Golay X. Model-free arterial spin labeling quantification approach for perfusion</w:t>
      </w:r>
      <w:r>
        <w:t xml:space="preserve"> </w:t>
      </w:r>
      <w:r>
        <w:t xml:space="preserve">MRI</w:t>
      </w:r>
      <w:r>
        <w:t xml:space="preserve">.</w:t>
      </w:r>
      <w:r>
        <w:t xml:space="preserve"> </w:t>
      </w:r>
      <w:r>
        <w:rPr>
          <w:i/>
          <w:iCs/>
        </w:rPr>
        <w:t xml:space="preserve">Magnetic Resonance in Medicine</w:t>
      </w:r>
      <w:r>
        <w:t xml:space="preserve">. 2006;55(2):219-232. doi:</w:t>
      </w:r>
      <w:hyperlink r:id="rId127">
        <w:r>
          <w:rPr>
            <w:rStyle w:val="InternetLink"/>
          </w:rPr>
          <w:t xml:space="preserve">10.1002/mrm.20784</w:t>
        </w:r>
      </w:hyperlink>
    </w:p>
    <w:bookmarkEnd w:id="128"/>
    <w:bookmarkStart w:id="130" w:name="ref-luCalibrationValidationTRUST2012"/>
    <w:p>
      <w:pPr>
        <w:pStyle w:val="Bibliography"/>
      </w:pPr>
      <w:r>
        <w:t xml:space="preserve">24.</w:t>
      </w:r>
      <w:r>
        <w:t xml:space="preserve"> </w:t>
      </w:r>
      <w:r>
        <w:t xml:space="preserve">	</w:t>
      </w:r>
      <w:r>
        <w:t xml:space="preserve">Lu H, Xu F, Grgac K, Liu P, Qin Q, van Zijl P. Calibration and validation of</w:t>
      </w:r>
      <w:r>
        <w:t xml:space="preserve"> </w:t>
      </w:r>
      <w:r>
        <w:t xml:space="preserve">TRUST MRI</w:t>
      </w:r>
      <w:r>
        <w:t xml:space="preserve"> </w:t>
      </w:r>
      <w:r>
        <w:t xml:space="preserve">for the estimation of cerebral blood oxygenation.</w:t>
      </w:r>
      <w:r>
        <w:t xml:space="preserve"> </w:t>
      </w:r>
      <w:r>
        <w:rPr>
          <w:i/>
          <w:iCs/>
        </w:rPr>
        <w:t xml:space="preserve">Magnetic Resonance in Medicine</w:t>
      </w:r>
      <w:r>
        <w:t xml:space="preserve">. 2012;67(1):42-49. doi:</w:t>
      </w:r>
      <w:hyperlink r:id="rId129">
        <w:r>
          <w:rPr>
            <w:rStyle w:val="InternetLink"/>
          </w:rPr>
          <w:t xml:space="preserve">10.1002/mrm.22970</w:t>
        </w:r>
      </w:hyperlink>
    </w:p>
    <w:bookmarkEnd w:id="130"/>
    <w:bookmarkStart w:id="132" w:name="ref-altmanCerebralOxygenMetabolism1993"/>
    <w:p>
      <w:pPr>
        <w:pStyle w:val="Bibliography"/>
      </w:pPr>
      <w:r>
        <w:t xml:space="preserve">25.</w:t>
      </w:r>
      <w:r>
        <w:t xml:space="preserve"> </w:t>
      </w:r>
      <w:r>
        <w:t xml:space="preserve">	</w:t>
      </w:r>
      <w:r>
        <w:t xml:space="preserve">Altman DI, Perlman JM, Volpe JJ, Powers WJ.</w:t>
      </w:r>
      <w:r>
        <w:t xml:space="preserve"> </w:t>
      </w:r>
      <w:hyperlink r:id="rId131">
        <w:r>
          <w:rPr>
            <w:rStyle w:val="InternetLink"/>
          </w:rPr>
          <w:t xml:space="preserve">Cerebral oxygen metabolism in newborns</w:t>
        </w:r>
      </w:hyperlink>
      <w:r>
        <w:t xml:space="preserve">.</w:t>
      </w:r>
      <w:r>
        <w:t xml:space="preserve"> </w:t>
      </w:r>
      <w:r>
        <w:rPr>
          <w:i/>
          <w:iCs/>
        </w:rPr>
        <w:t xml:space="preserve">Pediatrics</w:t>
      </w:r>
      <w:r>
        <w:t xml:space="preserve">. 1993;92(1):99-104.</w:t>
      </w:r>
    </w:p>
    <w:bookmarkEnd w:id="132"/>
    <w:bookmarkStart w:id="134" w:name="ref-devisNoninvasiveMRIMeasurements2014"/>
    <w:p>
      <w:pPr>
        <w:pStyle w:val="Bibliography"/>
      </w:pPr>
      <w:r>
        <w:t xml:space="preserve">26.</w:t>
      </w:r>
      <w:r>
        <w:t xml:space="preserve"> </w:t>
      </w:r>
      <w:r>
        <w:t xml:space="preserve">	</w:t>
      </w:r>
      <w:r>
        <w:t xml:space="preserve">De Vis JB, Petersen ET, Alderliesten T, et al. Non-invasive</w:t>
      </w:r>
      <w:r>
        <w:t xml:space="preserve"> </w:t>
      </w:r>
      <w:r>
        <w:t xml:space="preserve">MRI</w:t>
      </w:r>
      <w:r>
        <w:t xml:space="preserve"> </w:t>
      </w:r>
      <w:r>
        <w:t xml:space="preserve">measurements of venous oxygenation, oxygen extraction fraction and oxygen consumption in neonates.</w:t>
      </w:r>
      <w:r>
        <w:t xml:space="preserve"> </w:t>
      </w:r>
      <w:r>
        <w:rPr>
          <w:i/>
          <w:iCs/>
        </w:rPr>
        <w:t xml:space="preserve">NeuroImage</w:t>
      </w:r>
      <w:r>
        <w:t xml:space="preserve">. 2014;95:185-192. doi:</w:t>
      </w:r>
      <w:hyperlink r:id="rId133">
        <w:r>
          <w:rPr>
            <w:rStyle w:val="InternetLink"/>
          </w:rPr>
          <w:t xml:space="preserve">10.1016/j.neuroimage.2014.03.060</w:t>
        </w:r>
      </w:hyperlink>
    </w:p>
    <w:bookmarkEnd w:id="134"/>
    <w:bookmarkStart w:id="136" w:name="ref-elwellMeasurementCMRO2Neonates2005"/>
    <w:p>
      <w:pPr>
        <w:pStyle w:val="Bibliography"/>
      </w:pPr>
      <w:r>
        <w:t xml:space="preserve">27.</w:t>
      </w:r>
      <w:r>
        <w:t xml:space="preserve"> </w:t>
      </w:r>
      <w:r>
        <w:t xml:space="preserve">	</w:t>
      </w:r>
      <w:r>
        <w:t xml:space="preserve">Elwell CE, Henty JR, Leung TS, et al. Measurement of</w:t>
      </w:r>
      <w:r>
        <w:t xml:space="preserve"> </w:t>
      </w:r>
      <w:r>
        <w:t xml:space="preserve">CMRO2</w:t>
      </w:r>
      <w:r>
        <w:t xml:space="preserve"> </w:t>
      </w:r>
      <w:r>
        <w:t xml:space="preserve">in</w:t>
      </w:r>
      <w:r>
        <w:t xml:space="preserve"> </w:t>
      </w:r>
      <w:r>
        <w:t xml:space="preserve">Neonates Undergoing Intensive Care Using Near Infrared Spectroscopy</w:t>
      </w:r>
      <w:r>
        <w:t xml:space="preserve">. In: Okunieff P, Williams J, Chen Y, eds.</w:t>
      </w:r>
      <w:r>
        <w:t xml:space="preserve"> </w:t>
      </w:r>
      <w:r>
        <w:rPr>
          <w:i/>
          <w:iCs/>
        </w:rPr>
        <w:t xml:space="preserve">Oxygen</w:t>
      </w:r>
      <w:r>
        <w:rPr>
          <w:i/>
          <w:iCs/>
        </w:rPr>
        <w:t xml:space="preserve"> </w:t>
      </w:r>
      <w:r>
        <w:rPr>
          <w:i/>
          <w:iCs/>
        </w:rPr>
        <w:t xml:space="preserve">Transport</w:t>
      </w:r>
      <w:r>
        <w:rPr>
          <w:i/>
          <w:iCs/>
        </w:rPr>
        <w:t xml:space="preserve"> </w:t>
      </w:r>
      <w:r>
        <w:rPr>
          <w:i/>
          <w:iCs/>
        </w:rPr>
        <w:t xml:space="preserve">to</w:t>
      </w:r>
      <w:r>
        <w:rPr>
          <w:i/>
          <w:iCs/>
        </w:rPr>
        <w:t xml:space="preserve"> </w:t>
      </w:r>
      <w:r>
        <w:rPr>
          <w:i/>
          <w:iCs/>
        </w:rPr>
        <w:t xml:space="preserve">Tissue XXVI</w:t>
      </w:r>
      <w:r>
        <w:t xml:space="preserve">. Vol 566. Springer-Verlag; 2005:263-268. doi:</w:t>
      </w:r>
      <w:hyperlink r:id="rId135">
        <w:r>
          <w:rPr>
            <w:rStyle w:val="InternetLink"/>
          </w:rPr>
          <w:t xml:space="preserve">10.1007/0-387-26206-7_35</w:t>
        </w:r>
      </w:hyperlink>
    </w:p>
    <w:bookmarkEnd w:id="136"/>
    <w:bookmarkStart w:id="138" w:name="ref-skovEstimationCerebralVenous1993"/>
    <w:p>
      <w:pPr>
        <w:pStyle w:val="Bibliography"/>
      </w:pPr>
      <w:r>
        <w:t xml:space="preserve">28.</w:t>
      </w:r>
      <w:r>
        <w:t xml:space="preserve"> </w:t>
      </w:r>
      <w:r>
        <w:t xml:space="preserve">	</w:t>
      </w:r>
      <w:r>
        <w:t xml:space="preserve">Skov L, Pryds O, Greisen G, Lou H. Estimation of cerebral venous saturation in newborn infants by near infrared spectroscopy.</w:t>
      </w:r>
      <w:r>
        <w:t xml:space="preserve"> </w:t>
      </w:r>
      <w:r>
        <w:rPr>
          <w:i/>
          <w:iCs/>
        </w:rPr>
        <w:t xml:space="preserve">Pediatric Research</w:t>
      </w:r>
      <w:r>
        <w:t xml:space="preserve">. 1993;33(1):52-55. doi:</w:t>
      </w:r>
      <w:hyperlink r:id="rId137">
        <w:r>
          <w:rPr>
            <w:rStyle w:val="InternetLink"/>
          </w:rPr>
          <w:t xml:space="preserve">10.1203/00006450-199301000-00011</w:t>
        </w:r>
      </w:hyperlink>
    </w:p>
    <w:bookmarkEnd w:id="138"/>
    <w:bookmarkStart w:id="140" w:name="ref-yoxallMeasurementCerebralOxygen1998"/>
    <w:p>
      <w:pPr>
        <w:pStyle w:val="Bibliography"/>
      </w:pPr>
      <w:r>
        <w:t xml:space="preserve">29.</w:t>
      </w:r>
      <w:r>
        <w:t xml:space="preserve"> </w:t>
      </w:r>
      <w:r>
        <w:t xml:space="preserve">	</w:t>
      </w:r>
      <w:r>
        <w:t xml:space="preserve">Yoxall CW, Weindling AM. Measurement of cerebral oxygen consumption in the human neonate using near infrared spectroscopy: Cerebral oxygen consumption increases with advancing gestational age.</w:t>
      </w:r>
      <w:r>
        <w:t xml:space="preserve"> </w:t>
      </w:r>
      <w:r>
        <w:rPr>
          <w:i/>
          <w:iCs/>
        </w:rPr>
        <w:t xml:space="preserve">Pediatric Research</w:t>
      </w:r>
      <w:r>
        <w:t xml:space="preserve">. 1998;44(3):283-290. doi:</w:t>
      </w:r>
      <w:hyperlink r:id="rId139">
        <w:r>
          <w:rPr>
            <w:rStyle w:val="InternetLink"/>
          </w:rPr>
          <w:t xml:space="preserve">10.1203/00006450-199809000-00004</w:t>
        </w:r>
      </w:hyperlink>
    </w:p>
    <w:bookmarkEnd w:id="140"/>
    <w:bookmarkStart w:id="142" w:name="Xffbde0f4ae4c98a61eaead2509f97c3dab005ea"/>
    <w:p>
      <w:pPr>
        <w:pStyle w:val="Bibliography"/>
      </w:pPr>
      <w:r>
        <w:t xml:space="preserve">30.</w:t>
      </w:r>
      <w:r>
        <w:t xml:space="preserve"> </w:t>
      </w:r>
      <w:r>
        <w:t xml:space="preserve">	</w:t>
      </w:r>
      <w:r>
        <w:t xml:space="preserve">Woolrich MW, Jbabdi S, Patenaude B, et al. Bayesian analysis of neuroimaging data in</w:t>
      </w:r>
      <w:r>
        <w:t xml:space="preserve"> </w:t>
      </w:r>
      <w:r>
        <w:t xml:space="preserve">FSL</w:t>
      </w:r>
      <w:r>
        <w:t xml:space="preserve">.</w:t>
      </w:r>
      <w:r>
        <w:t xml:space="preserve"> </w:t>
      </w:r>
      <w:r>
        <w:rPr>
          <w:i/>
          <w:iCs/>
        </w:rPr>
        <w:t xml:space="preserve">NeuroImage</w:t>
      </w:r>
      <w:r>
        <w:t xml:space="preserve">. 2009;45(1):S173-S186. doi:</w:t>
      </w:r>
      <w:hyperlink r:id="rId141">
        <w:r>
          <w:rPr>
            <w:rStyle w:val="InternetLink"/>
          </w:rPr>
          <w:t xml:space="preserve">10.1016/j.neuroimage.2008.10.055</w:t>
        </w:r>
      </w:hyperlink>
    </w:p>
    <w:bookmarkEnd w:id="142"/>
    <w:bookmarkStart w:id="144" w:name="ref-boreDcm2Bids2023"/>
    <w:p>
      <w:pPr>
        <w:pStyle w:val="Bibliography"/>
      </w:pPr>
      <w:r>
        <w:t xml:space="preserve">31.</w:t>
      </w:r>
      <w:r>
        <w:t xml:space="preserve"> </w:t>
      </w:r>
      <w:r>
        <w:t xml:space="preserve">	</w:t>
      </w:r>
      <w:r>
        <w:t xml:space="preserve">Boré A, Guay S, Bedetti C, Meisler S, GuenTher N.</w:t>
      </w:r>
      <w:r>
        <w:t xml:space="preserve"> </w:t>
      </w:r>
      <w:r>
        <w:t xml:space="preserve">Dcm2Bids</w:t>
      </w:r>
      <w:r>
        <w:t xml:space="preserve">. Published online October 2023. doi:</w:t>
      </w:r>
      <w:hyperlink r:id="rId143">
        <w:r>
          <w:rPr>
            <w:rStyle w:val="InternetLink"/>
          </w:rPr>
          <w:t xml:space="preserve">10.5281/ZENODO.8436509</w:t>
        </w:r>
      </w:hyperlink>
    </w:p>
    <w:bookmarkEnd w:id="144"/>
    <w:bookmarkStart w:id="146" w:name="ref-liFirstStepNeuroimaging2016"/>
    <w:p>
      <w:pPr>
        <w:pStyle w:val="Bibliography"/>
      </w:pPr>
      <w:r>
        <w:t xml:space="preserve">32.</w:t>
      </w:r>
      <w:r>
        <w:t xml:space="preserve"> </w:t>
      </w:r>
      <w:r>
        <w:t xml:space="preserve">	</w:t>
      </w:r>
      <w:r>
        <w:t xml:space="preserve">Li X, Morgan PS, Ashburner J, Smith J, Rorden C. The first step for neuroimaging data analysis:</w:t>
      </w:r>
      <w:r>
        <w:t xml:space="preserve"> </w:t>
      </w:r>
      <w:r>
        <w:t xml:space="preserve">DICOM</w:t>
      </w:r>
      <w:r>
        <w:t xml:space="preserve"> </w:t>
      </w:r>
      <w:r>
        <w:t xml:space="preserve">to</w:t>
      </w:r>
      <w:r>
        <w:t xml:space="preserve"> </w:t>
      </w:r>
      <w:r>
        <w:t xml:space="preserve">NIfTI</w:t>
      </w:r>
      <w:r>
        <w:t xml:space="preserve"> </w:t>
      </w:r>
      <w:r>
        <w:t xml:space="preserve">conversion.</w:t>
      </w:r>
      <w:r>
        <w:t xml:space="preserve"> </w:t>
      </w:r>
      <w:r>
        <w:rPr>
          <w:i/>
          <w:iCs/>
        </w:rPr>
        <w:t xml:space="preserve">Journal of Neuroscience Methods</w:t>
      </w:r>
      <w:r>
        <w:t xml:space="preserve">. 2016;264:47-56. doi:</w:t>
      </w:r>
      <w:hyperlink r:id="rId145">
        <w:r>
          <w:rPr>
            <w:rStyle w:val="InternetLink"/>
          </w:rPr>
          <w:t xml:space="preserve">10.1016/j.jneumeth.2016.03.001</w:t>
        </w:r>
      </w:hyperlink>
    </w:p>
    <w:bookmarkEnd w:id="146"/>
    <w:bookmarkStart w:id="148" w:name="ref-gorgolewskiBrainImagingData2016"/>
    <w:p>
      <w:pPr>
        <w:pStyle w:val="Bibliography"/>
      </w:pPr>
      <w:r>
        <w:t xml:space="preserve">33.</w:t>
      </w:r>
      <w:r>
        <w:t xml:space="preserve"> </w:t>
      </w:r>
      <w:r>
        <w:t xml:space="preserve">	</w:t>
      </w:r>
      <w:r>
        <w:t xml:space="preserve">Gorgolewski KJ, Auer T, Calhoun VD, et al. The brain imaging data structure, a format for organizing and describing outputs of neuroimaging experiments.</w:t>
      </w:r>
      <w:r>
        <w:t xml:space="preserve"> </w:t>
      </w:r>
      <w:r>
        <w:rPr>
          <w:i/>
          <w:iCs/>
        </w:rPr>
        <w:t xml:space="preserve">Scientific Data</w:t>
      </w:r>
      <w:r>
        <w:t xml:space="preserve">. 2016;3(1):160044. doi:</w:t>
      </w:r>
      <w:hyperlink r:id="rId147">
        <w:r>
          <w:rPr>
            <w:rStyle w:val="InternetLink"/>
          </w:rPr>
          <w:t xml:space="preserve">10.1038/sdata.2016.44</w:t>
        </w:r>
      </w:hyperlink>
    </w:p>
    <w:bookmarkEnd w:id="148"/>
    <w:bookmarkStart w:id="150" w:name="Xd7a10e5b8de2d8e02a2150568f7f2f8eaccde19"/>
    <w:p>
      <w:pPr>
        <w:pStyle w:val="Bibliography"/>
      </w:pPr>
      <w:r>
        <w:t xml:space="preserve">34.</w:t>
      </w:r>
      <w:r>
        <w:t xml:space="preserve"> </w:t>
      </w:r>
      <w:r>
        <w:t xml:space="preserve">	</w:t>
      </w:r>
      <w:r>
        <w:t xml:space="preserve">Makropoulos A, Robinson EC, Schuh A, et al. The developing human connectome project:</w:t>
      </w:r>
      <w:r>
        <w:t xml:space="preserve"> </w:t>
      </w:r>
      <w:r>
        <w:t xml:space="preserve">A</w:t>
      </w:r>
      <w:r>
        <w:t xml:space="preserve"> </w:t>
      </w:r>
      <w:r>
        <w:t xml:space="preserve">minimal processing pipeline for neonatal cortical surface reconstruction.</w:t>
      </w:r>
      <w:r>
        <w:t xml:space="preserve"> </w:t>
      </w:r>
      <w:r>
        <w:rPr>
          <w:i/>
          <w:iCs/>
        </w:rPr>
        <w:t xml:space="preserve">NeuroImage</w:t>
      </w:r>
      <w:r>
        <w:t xml:space="preserve">. 2018;173:88-112. doi:</w:t>
      </w:r>
      <w:hyperlink r:id="rId149">
        <w:r>
          <w:rPr>
            <w:rStyle w:val="InternetLink"/>
          </w:rPr>
          <w:t xml:space="preserve">10.1016/j.neuroimage.2018.01.054</w:t>
        </w:r>
      </w:hyperlink>
    </w:p>
    <w:bookmarkEnd w:id="150"/>
    <w:bookmarkStart w:id="152" w:name="ref-smithFastRobustAutomated2002"/>
    <w:p>
      <w:pPr>
        <w:pStyle w:val="Bibliography"/>
      </w:pPr>
      <w:r>
        <w:t xml:space="preserve">35.</w:t>
      </w:r>
      <w:r>
        <w:t xml:space="preserve"> </w:t>
      </w:r>
      <w:r>
        <w:t xml:space="preserve">	</w:t>
      </w:r>
      <w:r>
        <w:t xml:space="preserve">Smith SM. Fast robust automated brain extraction.</w:t>
      </w:r>
      <w:r>
        <w:t xml:space="preserve"> </w:t>
      </w:r>
      <w:r>
        <w:rPr>
          <w:i/>
          <w:iCs/>
        </w:rPr>
        <w:t xml:space="preserve">Human Brain Mapping</w:t>
      </w:r>
      <w:r>
        <w:t xml:space="preserve">. 2002;17(3):143-155. doi:</w:t>
      </w:r>
      <w:hyperlink r:id="rId151">
        <w:r>
          <w:rPr>
            <w:rStyle w:val="InternetLink"/>
          </w:rPr>
          <w:t xml:space="preserve">10.1002/hbm.10062</w:t>
        </w:r>
      </w:hyperlink>
    </w:p>
    <w:bookmarkEnd w:id="152"/>
    <w:bookmarkStart w:id="154" w:name="ref-makropoulosAutomaticWholeBrain2014"/>
    <w:p>
      <w:pPr>
        <w:pStyle w:val="Bibliography"/>
      </w:pPr>
      <w:r>
        <w:t xml:space="preserve">36.</w:t>
      </w:r>
      <w:r>
        <w:t xml:space="preserve"> </w:t>
      </w:r>
      <w:r>
        <w:t xml:space="preserve">	</w:t>
      </w:r>
      <w:r>
        <w:t xml:space="preserve">Makropoulos A, Gousias IS, Ledig C, et al. Automatic</w:t>
      </w:r>
      <w:r>
        <w:t xml:space="preserve"> </w:t>
      </w:r>
      <w:r>
        <w:t xml:space="preserve">Whole Brain MRI Segmentation</w:t>
      </w:r>
      <w:r>
        <w:t xml:space="preserve"> </w:t>
      </w:r>
      <w:r>
        <w:t xml:space="preserve">of the</w:t>
      </w:r>
      <w:r>
        <w:t xml:space="preserve"> </w:t>
      </w:r>
      <w:r>
        <w:t xml:space="preserve">Developing Neonatal Brain</w:t>
      </w:r>
      <w:r>
        <w:t xml:space="preserve">.</w:t>
      </w:r>
      <w:r>
        <w:t xml:space="preserve"> </w:t>
      </w:r>
      <w:r>
        <w:rPr>
          <w:i/>
          <w:iCs/>
        </w:rPr>
        <w:t xml:space="preserve">IEEE Transactions on Medical Imaging</w:t>
      </w:r>
      <w:r>
        <w:t xml:space="preserve">. 2014;33(9):1818-1831. doi:</w:t>
      </w:r>
      <w:hyperlink r:id="rId153">
        <w:r>
          <w:rPr>
            <w:rStyle w:val="InternetLink"/>
          </w:rPr>
          <w:t xml:space="preserve">10.1109/TMI.2014.2322280</w:t>
        </w:r>
      </w:hyperlink>
    </w:p>
    <w:bookmarkEnd w:id="154"/>
    <w:bookmarkStart w:id="156" w:name="ref-kamesRapidTwostepDipole2018"/>
    <w:p>
      <w:pPr>
        <w:pStyle w:val="Bibliography"/>
      </w:pPr>
      <w:r>
        <w:t xml:space="preserve">37.</w:t>
      </w:r>
      <w:r>
        <w:t xml:space="preserve"> </w:t>
      </w:r>
      <w:r>
        <w:t xml:space="preserve">	</w:t>
      </w:r>
      <w:r>
        <w:t xml:space="preserve">Kames C, Wiggermann V, Rauscher A. Rapid two-step dipole inversion for susceptibility mapping with sparsity priors.</w:t>
      </w:r>
      <w:r>
        <w:t xml:space="preserve"> </w:t>
      </w:r>
      <w:r>
        <w:rPr>
          <w:i/>
          <w:iCs/>
        </w:rPr>
        <w:t xml:space="preserve">NeuroImage</w:t>
      </w:r>
      <w:r>
        <w:t xml:space="preserve">. 2018;167:276-283. doi:</w:t>
      </w:r>
      <w:hyperlink r:id="rId155">
        <w:r>
          <w:rPr>
            <w:rStyle w:val="InternetLink"/>
          </w:rPr>
          <w:t xml:space="preserve">10.1016/j.neuroimage.2017.11.018</w:t>
        </w:r>
      </w:hyperlink>
    </w:p>
    <w:bookmarkEnd w:id="156"/>
    <w:bookmarkStart w:id="158" w:name="X5afc0855896095c4a15ff4c66fd0b6761074023"/>
    <w:p>
      <w:pPr>
        <w:pStyle w:val="Bibliography"/>
      </w:pPr>
      <w:r>
        <w:t xml:space="preserve">38.</w:t>
      </w:r>
      <w:r>
        <w:t xml:space="preserve"> </w:t>
      </w:r>
      <w:r>
        <w:t xml:space="preserve">	</w:t>
      </w:r>
      <w:r>
        <w:t xml:space="preserve">QSM Consensus Organization Committee, Bilgic B, Costagli M, et al. Recommended implementation of quantitative susceptibility mapping for clinical research in the brain:</w:t>
      </w:r>
      <w:r>
        <w:t xml:space="preserve"> </w:t>
      </w:r>
      <w:r>
        <w:t xml:space="preserve">A</w:t>
      </w:r>
      <w:r>
        <w:t xml:space="preserve"> </w:t>
      </w:r>
      <w:r>
        <w:t xml:space="preserve">consensus of the</w:t>
      </w:r>
      <w:r>
        <w:t xml:space="preserve"> </w:t>
      </w:r>
      <w:r>
        <w:rPr>
          <w:smallCaps/>
        </w:rPr>
        <w:t xml:space="preserve">ISMRM</w:t>
      </w:r>
      <w:r>
        <w:t xml:space="preserve"> </w:t>
      </w:r>
      <w:r>
        <w:t xml:space="preserve">electro-magnetic tissue properties study group.</w:t>
      </w:r>
      <w:r>
        <w:t xml:space="preserve"> </w:t>
      </w:r>
      <w:r>
        <w:rPr>
          <w:i/>
          <w:iCs/>
        </w:rPr>
        <w:t xml:space="preserve">Magnetic Resonance in Medicine</w:t>
      </w:r>
      <w:r>
        <w:t xml:space="preserve">. 2024;91(5):1834-1862. doi:</w:t>
      </w:r>
      <w:hyperlink r:id="rId157">
        <w:r>
          <w:rPr>
            <w:rStyle w:val="InternetLink"/>
          </w:rPr>
          <w:t xml:space="preserve">10.1002/mrm.30006</w:t>
        </w:r>
      </w:hyperlink>
    </w:p>
    <w:bookmarkEnd w:id="158"/>
    <w:bookmarkStart w:id="159" w:name="ref-kamesGitHubKamesyQSMm2024"/>
    <w:p>
      <w:pPr>
        <w:pStyle w:val="Bibliography"/>
      </w:pPr>
      <w:r>
        <w:t xml:space="preserve">39.</w:t>
      </w:r>
      <w:r>
        <w:t xml:space="preserve"> </w:t>
      </w:r>
      <w:r>
        <w:t xml:space="preserve">	</w:t>
      </w:r>
      <w:r>
        <w:t xml:space="preserve">Kames C.</w:t>
      </w:r>
      <w:r>
        <w:t xml:space="preserve"> </w:t>
      </w:r>
      <w:r>
        <w:t xml:space="preserve">GitHub</w:t>
      </w:r>
      <w:r>
        <w:t xml:space="preserve"> </w:t>
      </w:r>
      <w:r>
        <w:t xml:space="preserve">- kamesy/</w:t>
      </w:r>
      <w:r>
        <w:t xml:space="preserve">QSM</w:t>
      </w:r>
      <w:r>
        <w:t xml:space="preserve">.m:</w:t>
      </w:r>
      <w:r>
        <w:t xml:space="preserve"> </w:t>
      </w:r>
      <w:r>
        <w:t xml:space="preserve">MATLAB</w:t>
      </w:r>
      <w:r>
        <w:t xml:space="preserve"> </w:t>
      </w:r>
      <w:r>
        <w:t xml:space="preserve">toolbox for</w:t>
      </w:r>
      <w:r>
        <w:t xml:space="preserve"> </w:t>
      </w:r>
      <w:r>
        <w:t xml:space="preserve">Quantitative Susceptibility Mapping</w:t>
      </w:r>
      <w:r>
        <w:t xml:space="preserve">. Published online March 2024.</w:t>
      </w:r>
    </w:p>
    <w:bookmarkEnd w:id="159"/>
    <w:bookmarkStart w:id="161" w:name="ref-straubNovelGradientEcho2022"/>
    <w:p>
      <w:pPr>
        <w:pStyle w:val="Bibliography"/>
      </w:pPr>
      <w:r>
        <w:t xml:space="preserve">40.</w:t>
      </w:r>
      <w:r>
        <w:t xml:space="preserve"> </w:t>
      </w:r>
      <w:r>
        <w:t xml:space="preserve">	</w:t>
      </w:r>
      <w:r>
        <w:t xml:space="preserve">Straub S, Stiegeler J, El-Sanosy E, Bendszus M, Ladd ME, Schneider TM. A novel gradient echo data based vein segmentation algorithm and its application for the detection of regional cerebral differences in venous susceptibility.</w:t>
      </w:r>
      <w:r>
        <w:t xml:space="preserve"> </w:t>
      </w:r>
      <w:r>
        <w:rPr>
          <w:i/>
          <w:iCs/>
        </w:rPr>
        <w:t xml:space="preserve">NeuroImage</w:t>
      </w:r>
      <w:r>
        <w:t xml:space="preserve">. 2022;250:118931. doi:</w:t>
      </w:r>
      <w:hyperlink r:id="rId160">
        <w:r>
          <w:rPr>
            <w:rStyle w:val="InternetLink"/>
          </w:rPr>
          <w:t xml:space="preserve">10.1016/j.neuroimage.2022.118931</w:t>
        </w:r>
      </w:hyperlink>
    </w:p>
    <w:bookmarkEnd w:id="161"/>
    <w:bookmarkStart w:id="163" w:name="X510473210a7e388d6fdee0a719456e9f1878217"/>
    <w:p>
      <w:pPr>
        <w:pStyle w:val="Bibliography"/>
      </w:pPr>
      <w:r>
        <w:t xml:space="preserve">41.</w:t>
      </w:r>
      <w:r>
        <w:t xml:space="preserve"> </w:t>
      </w:r>
      <w:r>
        <w:t xml:space="preserve">	</w:t>
      </w:r>
      <w:r>
        <w:t xml:space="preserve">Yaghmaie N, Syeda WT, Wu C, et al.</w:t>
      </w:r>
      <w:r>
        <w:t xml:space="preserve"> </w:t>
      </w:r>
      <w:r>
        <w:t xml:space="preserve">QSMART</w:t>
      </w:r>
      <w:r>
        <w:t xml:space="preserve">:</w:t>
      </w:r>
      <w:r>
        <w:t xml:space="preserve"> </w:t>
      </w:r>
      <w:r>
        <w:t xml:space="preserve">Quantitative</w:t>
      </w:r>
      <w:r>
        <w:t xml:space="preserve"> </w:t>
      </w:r>
      <w:r>
        <w:t xml:space="preserve">susceptibility mapping artifact reduction technique.</w:t>
      </w:r>
      <w:r>
        <w:t xml:space="preserve"> </w:t>
      </w:r>
      <w:r>
        <w:rPr>
          <w:i/>
          <w:iCs/>
        </w:rPr>
        <w:t xml:space="preserve">NeuroImage</w:t>
      </w:r>
      <w:r>
        <w:t xml:space="preserve">. 2021;231:117701. doi:</w:t>
      </w:r>
      <w:hyperlink r:id="rId162">
        <w:r>
          <w:rPr>
            <w:rStyle w:val="InternetLink"/>
          </w:rPr>
          <w:t xml:space="preserve">10.1016/j.neuroimage.2020.117701</w:t>
        </w:r>
      </w:hyperlink>
    </w:p>
    <w:bookmarkEnd w:id="163"/>
    <w:bookmarkStart w:id="165" w:name="ref-sunExtractingMoreLess2020"/>
    <w:p>
      <w:pPr>
        <w:pStyle w:val="Bibliography"/>
      </w:pPr>
      <w:r>
        <w:t xml:space="preserve">42.</w:t>
      </w:r>
      <w:r>
        <w:t xml:space="preserve"> </w:t>
      </w:r>
      <w:r>
        <w:t xml:space="preserve">	</w:t>
      </w:r>
      <w:r>
        <w:t xml:space="preserve">Sun H, Cleary JO, Glarin R, et al. Extracting more for less: Multi-echo</w:t>
      </w:r>
      <w:r>
        <w:t xml:space="preserve"> </w:t>
      </w:r>
      <w:r>
        <w:t xml:space="preserve">MP2RAGE</w:t>
      </w:r>
      <w:r>
        <w:t xml:space="preserve"> </w:t>
      </w:r>
      <w:r>
        <w:t xml:space="preserve">for simultaneous</w:t>
      </w:r>
      <w:r>
        <w:t xml:space="preserve"> </w:t>
      </w:r>
      <w:r>
        <w:t xml:space="preserve">T</w:t>
      </w:r>
      <w:r>
        <w:t xml:space="preserve"> </w:t>
      </w:r>
      <w:r>
        <w:rPr>
          <w:vertAlign w:val="subscript"/>
        </w:rPr>
        <w:t xml:space="preserve">1</w:t>
      </w:r>
      <w:r>
        <w:t xml:space="preserve"> </w:t>
      </w:r>
      <w:r>
        <w:t xml:space="preserve">-weighted imaging,</w:t>
      </w:r>
      <w:r>
        <w:t xml:space="preserve"> </w:t>
      </w:r>
      <w:r>
        <w:t xml:space="preserve">T</w:t>
      </w:r>
      <w:r>
        <w:t xml:space="preserve"> </w:t>
      </w:r>
      <w:r>
        <w:rPr>
          <w:vertAlign w:val="subscript"/>
        </w:rPr>
        <w:t xml:space="preserve">1</w:t>
      </w:r>
      <w:r>
        <w:t xml:space="preserve"> </w:t>
      </w:r>
      <w:r>
        <w:t xml:space="preserve">mapping, mapping,</w:t>
      </w:r>
      <w:r>
        <w:t xml:space="preserve"> </w:t>
      </w:r>
      <w:r>
        <w:t xml:space="preserve">SWI</w:t>
      </w:r>
      <w:r>
        <w:t xml:space="preserve">, and</w:t>
      </w:r>
      <w:r>
        <w:t xml:space="preserve"> </w:t>
      </w:r>
      <w:r>
        <w:t xml:space="preserve">QSM</w:t>
      </w:r>
      <w:r>
        <w:t xml:space="preserve"> </w:t>
      </w:r>
      <w:r>
        <w:t xml:space="preserve">from a single acquisition.</w:t>
      </w:r>
      <w:r>
        <w:t xml:space="preserve"> </w:t>
      </w:r>
      <w:r>
        <w:rPr>
          <w:i/>
          <w:iCs/>
        </w:rPr>
        <w:t xml:space="preserve">Magnetic Resonance in Medicine</w:t>
      </w:r>
      <w:r>
        <w:t xml:space="preserve">. 2020;83(4):1178-1191. doi:</w:t>
      </w:r>
      <w:hyperlink r:id="rId164">
        <w:r>
          <w:rPr>
            <w:rStyle w:val="InternetLink"/>
          </w:rPr>
          <w:t xml:space="preserve">10.1002/mrm.27975</w:t>
        </w:r>
      </w:hyperlink>
    </w:p>
    <w:bookmarkEnd w:id="165"/>
    <w:bookmarkStart w:id="166" w:name="ref-dirk-jankroonHessianBasedFrangi2020"/>
    <w:p>
      <w:pPr>
        <w:pStyle w:val="Bibliography"/>
      </w:pPr>
      <w:r>
        <w:t xml:space="preserve">43.</w:t>
      </w:r>
      <w:r>
        <w:t xml:space="preserve"> </w:t>
      </w:r>
      <w:r>
        <w:t xml:space="preserve">	</w:t>
      </w:r>
      <w:r>
        <w:t xml:space="preserve">Dirk-Jan Kroon. Hessian based</w:t>
      </w:r>
      <w:r>
        <w:t xml:space="preserve"> </w:t>
      </w:r>
      <w:r>
        <w:t xml:space="preserve">Frangi Vesselness</w:t>
      </w:r>
      <w:r>
        <w:t xml:space="preserve"> </w:t>
      </w:r>
      <w:r>
        <w:t xml:space="preserve">filter. Published online 2020.</w:t>
      </w:r>
    </w:p>
    <w:bookmarkEnd w:id="166"/>
    <w:bookmarkStart w:id="167" w:name="X390b09ee9afb410a75dd98a17a6f2ddae55af66"/>
    <w:p>
      <w:pPr>
        <w:pStyle w:val="Bibliography"/>
      </w:pPr>
      <w:r>
        <w:t xml:space="preserve">44.</w:t>
      </w:r>
      <w:r>
        <w:t xml:space="preserve"> </w:t>
      </w:r>
      <w:r>
        <w:t xml:space="preserve">	</w:t>
      </w:r>
      <w:r>
        <w:t xml:space="preserve">Alireza Dastan. Gaussian and mean curvatures calculation on a triangulated 3d surface. Published online 2020.</w:t>
      </w:r>
    </w:p>
    <w:bookmarkEnd w:id="167"/>
    <w:bookmarkStart w:id="168" w:name="X940f1be72594aaa67dedf3d52b3de6f6c7eb841"/>
    <w:p>
      <w:pPr>
        <w:pStyle w:val="Bibliography"/>
      </w:pPr>
      <w:r>
        <w:t xml:space="preserve">45.</w:t>
      </w:r>
      <w:r>
        <w:t xml:space="preserve"> </w:t>
      </w:r>
      <w:r>
        <w:t xml:space="preserve">	</w:t>
      </w:r>
      <w:r>
        <w:t xml:space="preserve">Wei Li and Bing Wu and Chunlei Liu. 3265</w:t>
      </w:r>
      <w:r>
        <w:t xml:space="preserve"> </w:t>
      </w:r>
      <w:r>
        <w:t xml:space="preserve">STI Suite</w:t>
      </w:r>
      <w:r>
        <w:t xml:space="preserve"> </w:t>
      </w:r>
      <w:r>
        <w:t xml:space="preserve">: A</w:t>
      </w:r>
      <w:r>
        <w:t xml:space="preserve"> </w:t>
      </w:r>
      <w:r>
        <w:t xml:space="preserve">Software Package</w:t>
      </w:r>
      <w:r>
        <w:t xml:space="preserve"> </w:t>
      </w:r>
      <w:r>
        <w:t xml:space="preserve">for</w:t>
      </w:r>
      <w:r>
        <w:t xml:space="preserve"> </w:t>
      </w:r>
      <w:r>
        <w:t xml:space="preserve">Quantitative Susceptibility Imaging</w:t>
      </w:r>
      <w:r>
        <w:t xml:space="preserve">. In:</w:t>
      </w:r>
      <w:r>
        <w:t xml:space="preserve"> </w:t>
      </w:r>
      <w:r>
        <w:rPr>
          <w:i/>
          <w:iCs/>
        </w:rPr>
        <w:t xml:space="preserve">ISMRM</w:t>
      </w:r>
      <w:r>
        <w:t xml:space="preserve">.; 2014.</w:t>
      </w:r>
    </w:p>
    <w:bookmarkEnd w:id="168"/>
    <w:bookmarkStart w:id="170" w:name="X0f5ebdd09df3c65f2afb311a170e3857d401e7b"/>
    <w:p>
      <w:pPr>
        <w:pStyle w:val="Bibliography"/>
      </w:pPr>
      <w:r>
        <w:t xml:space="preserve">46.</w:t>
      </w:r>
      <w:r>
        <w:t xml:space="preserve"> </w:t>
      </w:r>
      <w:r>
        <w:t xml:space="preserve">	</w:t>
      </w:r>
      <w:r>
        <w:t xml:space="preserve">Biondetti E, Rojas-Villabona A, Sokolska M, et al. Investigating the oxygenation of brain arteriovenous malformations using quantitative susceptibility mapping.</w:t>
      </w:r>
      <w:r>
        <w:t xml:space="preserve"> </w:t>
      </w:r>
      <w:r>
        <w:rPr>
          <w:i/>
          <w:iCs/>
        </w:rPr>
        <w:t xml:space="preserve">NeuroImage</w:t>
      </w:r>
      <w:r>
        <w:t xml:space="preserve">. 2019;199:440-453. doi:</w:t>
      </w:r>
      <w:hyperlink r:id="rId169">
        <w:r>
          <w:rPr>
            <w:rStyle w:val="InternetLink"/>
          </w:rPr>
          <w:t xml:space="preserve">10.1016/j.neuroimage.2019.05.014</w:t>
        </w:r>
      </w:hyperlink>
    </w:p>
    <w:bookmarkEnd w:id="170"/>
    <w:bookmarkStart w:id="172" w:name="X1f1c479825d02b475a65849e357d89dcb715a17"/>
    <w:p>
      <w:pPr>
        <w:pStyle w:val="Bibliography"/>
      </w:pPr>
      <w:r>
        <w:t xml:space="preserve">47.</w:t>
      </w:r>
      <w:r>
        <w:t xml:space="preserve"> </w:t>
      </w:r>
      <w:r>
        <w:t xml:space="preserve">	</w:t>
      </w:r>
      <w:r>
        <w:t xml:space="preserve">Soman S, Bregni JA, Bilgic B, et al. Susceptibility-</w:t>
      </w:r>
      <w:r>
        <w:t xml:space="preserve">Based Neuroimaging</w:t>
      </w:r>
      <w:r>
        <w:t xml:space="preserve">:</w:t>
      </w:r>
      <w:r>
        <w:t xml:space="preserve"> </w:t>
      </w:r>
      <w:r>
        <w:t xml:space="preserve">Standard Methods</w:t>
      </w:r>
      <w:r>
        <w:t xml:space="preserve">,</w:t>
      </w:r>
      <w:r>
        <w:t xml:space="preserve"> </w:t>
      </w:r>
      <w:r>
        <w:t xml:space="preserve">Clinical Applications</w:t>
      </w:r>
      <w:r>
        <w:t xml:space="preserve">, and</w:t>
      </w:r>
      <w:r>
        <w:t xml:space="preserve"> </w:t>
      </w:r>
      <w:r>
        <w:t xml:space="preserve">Future Directions</w:t>
      </w:r>
      <w:r>
        <w:t xml:space="preserve">.</w:t>
      </w:r>
      <w:r>
        <w:t xml:space="preserve"> </w:t>
      </w:r>
      <w:r>
        <w:rPr>
          <w:i/>
          <w:iCs/>
        </w:rPr>
        <w:t xml:space="preserve">Current Radiology Reports</w:t>
      </w:r>
      <w:r>
        <w:t xml:space="preserve">. 2017;5(3):11. doi:</w:t>
      </w:r>
      <w:hyperlink r:id="rId171">
        <w:r>
          <w:rPr>
            <w:rStyle w:val="InternetLink"/>
          </w:rPr>
          <w:t xml:space="preserve">10.1007/s40134-017-0204-1</w:t>
        </w:r>
      </w:hyperlink>
    </w:p>
    <w:bookmarkEnd w:id="172"/>
    <w:bookmarkStart w:id="174" w:name="Xad6560b44d6626714ce567d95703317aa1cd712"/>
    <w:p>
      <w:pPr>
        <w:pStyle w:val="Bibliography"/>
      </w:pPr>
      <w:r>
        <w:t xml:space="preserve">48.</w:t>
      </w:r>
      <w:r>
        <w:t xml:space="preserve"> </w:t>
      </w:r>
      <w:r>
        <w:t xml:space="preserve">	</w:t>
      </w:r>
      <w:r>
        <w:t xml:space="preserve">Fan AP, Bilgic B, Gagnon L, et al. Quantitative oxygenation venography from</w:t>
      </w:r>
      <w:r>
        <w:t xml:space="preserve"> </w:t>
      </w:r>
      <w:r>
        <w:t xml:space="preserve">MRI</w:t>
      </w:r>
      <w:r>
        <w:t xml:space="preserve"> </w:t>
      </w:r>
      <w:r>
        <w:t xml:space="preserve">phase.</w:t>
      </w:r>
      <w:r>
        <w:t xml:space="preserve"> </w:t>
      </w:r>
      <w:r>
        <w:rPr>
          <w:i/>
          <w:iCs/>
        </w:rPr>
        <w:t xml:space="preserve">Magnetic Resonance in Medicine</w:t>
      </w:r>
      <w:r>
        <w:t xml:space="preserve">. 2014;72(1):149-159. doi:</w:t>
      </w:r>
      <w:hyperlink r:id="rId173">
        <w:r>
          <w:rPr>
            <w:rStyle w:val="InternetLink"/>
          </w:rPr>
          <w:t xml:space="preserve">10.1002/mrm.24918</w:t>
        </w:r>
      </w:hyperlink>
    </w:p>
    <w:bookmarkEnd w:id="174"/>
    <w:bookmarkStart w:id="176" w:name="X764ed5b17e735b1a929256c613b3c2a57b1b323"/>
    <w:p>
      <w:pPr>
        <w:pStyle w:val="Bibliography"/>
      </w:pPr>
      <w:r>
        <w:t xml:space="preserve">49.</w:t>
      </w:r>
      <w:r>
        <w:t xml:space="preserve"> </w:t>
      </w:r>
      <w:r>
        <w:t xml:space="preserve">	</w:t>
      </w:r>
      <w:r>
        <w:t xml:space="preserve">Weisskoff RM, Kiihne S.</w:t>
      </w:r>
      <w:r>
        <w:t xml:space="preserve"> </w:t>
      </w:r>
      <w:r>
        <w:t xml:space="preserve">MRI</w:t>
      </w:r>
      <w:r>
        <w:t xml:space="preserve"> </w:t>
      </w:r>
      <w:r>
        <w:t xml:space="preserve">susceptometry:</w:t>
      </w:r>
      <w:r>
        <w:t xml:space="preserve"> </w:t>
      </w:r>
      <w:r>
        <w:t xml:space="preserve">Image-based</w:t>
      </w:r>
      <w:r>
        <w:t xml:space="preserve"> </w:t>
      </w:r>
      <w:r>
        <w:t xml:space="preserve">measurement of absolute susceptibility of</w:t>
      </w:r>
      <w:r>
        <w:t xml:space="preserve"> </w:t>
      </w:r>
      <w:r>
        <w:t xml:space="preserve">MR</w:t>
      </w:r>
      <w:r>
        <w:t xml:space="preserve"> </w:t>
      </w:r>
      <w:r>
        <w:t xml:space="preserve">contrast agents and human blood:</w:t>
      </w:r>
      <w:r>
        <w:t xml:space="preserve"> </w:t>
      </w:r>
      <w:r>
        <w:t xml:space="preserve">COMMUNICATIONS</w:t>
      </w:r>
      <w:r>
        <w:t xml:space="preserve">.</w:t>
      </w:r>
      <w:r>
        <w:t xml:space="preserve"> </w:t>
      </w:r>
      <w:r>
        <w:rPr>
          <w:i/>
          <w:iCs/>
        </w:rPr>
        <w:t xml:space="preserve">Magnetic Resonance in Medicine</w:t>
      </w:r>
      <w:r>
        <w:t xml:space="preserve">. 1992;24(2):375-383. doi:</w:t>
      </w:r>
      <w:hyperlink r:id="rId175">
        <w:r>
          <w:rPr>
            <w:rStyle w:val="InternetLink"/>
          </w:rPr>
          <w:t xml:space="preserve">10.1002/mrm.1910240219</w:t>
        </w:r>
      </w:hyperlink>
    </w:p>
    <w:bookmarkEnd w:id="176"/>
    <w:bookmarkStart w:id="178" w:name="X5dcabc52cec00e82905a12242719d076cb6840e"/>
    <w:p>
      <w:pPr>
        <w:pStyle w:val="Bibliography"/>
      </w:pPr>
      <w:r>
        <w:t xml:space="preserve">50.</w:t>
      </w:r>
      <w:r>
        <w:t xml:space="preserve"> </w:t>
      </w:r>
      <w:r>
        <w:t xml:space="preserve">	</w:t>
      </w:r>
      <w:r>
        <w:t xml:space="preserve">Sedlacik J, Rauscher A, Reichenbach JR. Obtaining blood oxygenation levels from</w:t>
      </w:r>
      <w:r>
        <w:t xml:space="preserve"> </w:t>
      </w:r>
      <w:r>
        <w:t xml:space="preserve">MR</w:t>
      </w:r>
      <w:r>
        <w:t xml:space="preserve"> </w:t>
      </w:r>
      <w:r>
        <w:t xml:space="preserve">signal behavior in the presence of single venous vessels.</w:t>
      </w:r>
      <w:r>
        <w:t xml:space="preserve"> </w:t>
      </w:r>
      <w:r>
        <w:rPr>
          <w:i/>
          <w:iCs/>
        </w:rPr>
        <w:t xml:space="preserve">Magnetic Resonance in Medicine</w:t>
      </w:r>
      <w:r>
        <w:t xml:space="preserve">. 2007;58(5):1035-1044. doi:</w:t>
      </w:r>
      <w:hyperlink r:id="rId177">
        <w:r>
          <w:rPr>
            <w:rStyle w:val="InternetLink"/>
          </w:rPr>
          <w:t xml:space="preserve">10.1002/mrm.21283</w:t>
        </w:r>
      </w:hyperlink>
    </w:p>
    <w:bookmarkEnd w:id="178"/>
    <w:bookmarkStart w:id="180" w:name="ref-portnoyHumanUmbilicalCord2018"/>
    <w:p>
      <w:pPr>
        <w:pStyle w:val="Bibliography"/>
      </w:pPr>
      <w:r>
        <w:t xml:space="preserve">51.</w:t>
      </w:r>
      <w:r>
        <w:t xml:space="preserve"> </w:t>
      </w:r>
      <w:r>
        <w:t xml:space="preserve">	</w:t>
      </w:r>
      <w:r>
        <w:t xml:space="preserve">Portnoy S, Milligan N, Seed M, Sled JG, Macgowan CK. Human umbilical cord blood relaxation times and susceptibility at 3</w:t>
      </w:r>
      <w:r>
        <w:t xml:space="preserve"> </w:t>
      </w:r>
      <w:r>
        <w:t xml:space="preserve">T</w:t>
      </w:r>
      <w:r>
        <w:t xml:space="preserve">:</w:t>
      </w:r>
      <w:r>
        <w:t xml:space="preserve"> </w:t>
      </w:r>
      <w:r>
        <w:t xml:space="preserve">Human Umbilical Cord Blood Relaxation Times</w:t>
      </w:r>
      <w:r>
        <w:t xml:space="preserve"> </w:t>
      </w:r>
      <w:r>
        <w:t xml:space="preserve">and</w:t>
      </w:r>
      <w:r>
        <w:t xml:space="preserve"> </w:t>
      </w:r>
      <w:r>
        <w:t xml:space="preserve">Susceptibility</w:t>
      </w:r>
      <w:r>
        <w:t xml:space="preserve"> </w:t>
      </w:r>
      <w:r>
        <w:t xml:space="preserve">at 3</w:t>
      </w:r>
      <w:r>
        <w:t xml:space="preserve"> </w:t>
      </w:r>
      <w:r>
        <w:t xml:space="preserve">T</w:t>
      </w:r>
      <w:r>
        <w:t xml:space="preserve">.</w:t>
      </w:r>
      <w:r>
        <w:t xml:space="preserve"> </w:t>
      </w:r>
      <w:r>
        <w:rPr>
          <w:i/>
          <w:iCs/>
        </w:rPr>
        <w:t xml:space="preserve">Magnetic Resonance in Medicine</w:t>
      </w:r>
      <w:r>
        <w:t xml:space="preserve">. 2018;79(6):3194-3206. doi:</w:t>
      </w:r>
      <w:hyperlink r:id="rId179">
        <w:r>
          <w:rPr>
            <w:rStyle w:val="InternetLink"/>
          </w:rPr>
          <w:t xml:space="preserve">10.1002/mrm.26978</w:t>
        </w:r>
      </w:hyperlink>
    </w:p>
    <w:bookmarkEnd w:id="180"/>
    <w:bookmarkStart w:id="182" w:name="Xc71f4fceba70962315735ff7030a7f1e9918671"/>
    <w:p>
      <w:pPr>
        <w:pStyle w:val="Bibliography"/>
      </w:pPr>
      <w:r>
        <w:t xml:space="preserve">52.</w:t>
      </w:r>
      <w:r>
        <w:t xml:space="preserve"> </w:t>
      </w:r>
      <w:r>
        <w:t xml:space="preserve">	</w:t>
      </w:r>
      <w:r>
        <w:t xml:space="preserve">Alsop DC, Detre JA, Golay X, et al. Recommended implementation of arterial spin-labeled perfusion</w:t>
      </w:r>
      <w:r>
        <w:t xml:space="preserve"> </w:t>
      </w:r>
      <w:r>
        <w:t xml:space="preserve">MRI</w:t>
      </w:r>
      <w:r>
        <w:t xml:space="preserve"> </w:t>
      </w:r>
      <w:r>
        <w:t xml:space="preserve">for clinical applications:</w:t>
      </w:r>
      <w:r>
        <w:t xml:space="preserve"> </w:t>
      </w:r>
      <w:r>
        <w:t xml:space="preserve">A</w:t>
      </w:r>
      <w:r>
        <w:t xml:space="preserve"> </w:t>
      </w:r>
      <w:r>
        <w:t xml:space="preserve">consensus of the</w:t>
      </w:r>
      <w:r>
        <w:t xml:space="preserve"> </w:t>
      </w:r>
      <w:r>
        <w:t xml:space="preserve">ISMRM</w:t>
      </w:r>
      <w:r>
        <w:t xml:space="preserve"> </w:t>
      </w:r>
      <w:r>
        <w:t xml:space="preserve">perfusion study group and the</w:t>
      </w:r>
      <w:r>
        <w:t xml:space="preserve"> </w:t>
      </w:r>
      <w:r>
        <w:t xml:space="preserve">European</w:t>
      </w:r>
      <w:r>
        <w:t xml:space="preserve"> </w:t>
      </w:r>
      <w:r>
        <w:t xml:space="preserve">consortium for</w:t>
      </w:r>
      <w:r>
        <w:t xml:space="preserve"> </w:t>
      </w:r>
      <w:r>
        <w:t xml:space="preserve">ASL</w:t>
      </w:r>
      <w:r>
        <w:t xml:space="preserve"> </w:t>
      </w:r>
      <w:r>
        <w:t xml:space="preserve">in dementia:</w:t>
      </w:r>
      <w:r>
        <w:t xml:space="preserve"> </w:t>
      </w:r>
      <w:r>
        <w:t xml:space="preserve">Recommended Implementation</w:t>
      </w:r>
      <w:r>
        <w:t xml:space="preserve"> </w:t>
      </w:r>
      <w:r>
        <w:t xml:space="preserve">of</w:t>
      </w:r>
      <w:r>
        <w:t xml:space="preserve"> </w:t>
      </w:r>
      <w:r>
        <w:t xml:space="preserve">ASL</w:t>
      </w:r>
      <w:r>
        <w:t xml:space="preserve"> </w:t>
      </w:r>
      <w:r>
        <w:t xml:space="preserve">for</w:t>
      </w:r>
      <w:r>
        <w:t xml:space="preserve"> </w:t>
      </w:r>
      <w:r>
        <w:t xml:space="preserve">Clinical Applications</w:t>
      </w:r>
      <w:r>
        <w:t xml:space="preserve">.</w:t>
      </w:r>
      <w:r>
        <w:t xml:space="preserve"> </w:t>
      </w:r>
      <w:r>
        <w:rPr>
          <w:i/>
          <w:iCs/>
        </w:rPr>
        <w:t xml:space="preserve">Magnetic Resonance in Medicine</w:t>
      </w:r>
      <w:r>
        <w:t xml:space="preserve">. 2015;73(1):102-116. doi:</w:t>
      </w:r>
      <w:hyperlink r:id="rId181">
        <w:r>
          <w:rPr>
            <w:rStyle w:val="InternetLink"/>
          </w:rPr>
          <w:t xml:space="preserve">10.1002/mrm.25197</w:t>
        </w:r>
      </w:hyperlink>
    </w:p>
    <w:bookmarkEnd w:id="182"/>
    <w:bookmarkStart w:id="184" w:name="ref-devisImpactNeonateHaematocrit2014"/>
    <w:p>
      <w:pPr>
        <w:pStyle w:val="Bibliography"/>
      </w:pPr>
      <w:r>
        <w:t xml:space="preserve">53.</w:t>
      </w:r>
      <w:r>
        <w:t xml:space="preserve"> </w:t>
      </w:r>
      <w:r>
        <w:t xml:space="preserve">	</w:t>
      </w:r>
      <w:r>
        <w:t xml:space="preserve">De Vis JB, Hendrikse J, Groenendaal F, et al. Impact of neonate haematocrit variability on the longitudinal relaxation time of blood:</w:t>
      </w:r>
      <w:r>
        <w:t xml:space="preserve"> </w:t>
      </w:r>
      <w:r>
        <w:t xml:space="preserve">Implications</w:t>
      </w:r>
      <w:r>
        <w:t xml:space="preserve"> </w:t>
      </w:r>
      <w:r>
        <w:t xml:space="preserve">for arterial spin labelling</w:t>
      </w:r>
      <w:r>
        <w:t xml:space="preserve"> </w:t>
      </w:r>
      <w:r>
        <w:t xml:space="preserve">MRI</w:t>
      </w:r>
      <w:r>
        <w:t xml:space="preserve">.</w:t>
      </w:r>
      <w:r>
        <w:t xml:space="preserve"> </w:t>
      </w:r>
      <w:r>
        <w:rPr>
          <w:i/>
          <w:iCs/>
        </w:rPr>
        <w:t xml:space="preserve">NeuroImage: Clinical</w:t>
      </w:r>
      <w:r>
        <w:t xml:space="preserve">. 2014;4:517-525. doi:</w:t>
      </w:r>
      <w:hyperlink r:id="rId183">
        <w:r>
          <w:rPr>
            <w:rStyle w:val="InternetLink"/>
          </w:rPr>
          <w:t xml:space="preserve">10.1016/j.nicl.2014.03.006</w:t>
        </w:r>
      </w:hyperlink>
    </w:p>
    <w:bookmarkEnd w:id="184"/>
    <w:bookmarkStart w:id="186" w:name="Xe550b245e3d47b1d879a4cb43b16ed2f2f1eb43"/>
    <w:p>
      <w:pPr>
        <w:pStyle w:val="Bibliography"/>
      </w:pPr>
      <w:r>
        <w:t xml:space="preserve">54.</w:t>
      </w:r>
      <w:r>
        <w:t xml:space="preserve"> </w:t>
      </w:r>
      <w:r>
        <w:t xml:space="preserve">	</w:t>
      </w:r>
      <w:r>
        <w:t xml:space="preserve">Ulatowski JA, Oja JME, Suarez JI, Kauppinen RA, Traystman RJ, Van Zijl PCM.</w:t>
      </w:r>
      <w:r>
        <w:t xml:space="preserve"> </w:t>
      </w:r>
      <w:r>
        <w:rPr>
          <w:i/>
          <w:iCs/>
        </w:rPr>
        <w:t xml:space="preserve">In</w:t>
      </w:r>
      <w:r>
        <w:t xml:space="preserve"> </w:t>
      </w:r>
      <w:r>
        <w:rPr>
          <w:i/>
          <w:iCs/>
        </w:rPr>
        <w:t xml:space="preserve">Vivo</w:t>
      </w:r>
      <w:r>
        <w:t xml:space="preserve"> </w:t>
      </w:r>
      <w:r>
        <w:t xml:space="preserve">Determination</w:t>
      </w:r>
      <w:r>
        <w:t xml:space="preserve"> </w:t>
      </w:r>
      <w:r>
        <w:t xml:space="preserve">of</w:t>
      </w:r>
      <w:r>
        <w:t xml:space="preserve"> </w:t>
      </w:r>
      <w:r>
        <w:t xml:space="preserve">Absolute Cerebral Blood Volume Using Hemoglobin</w:t>
      </w:r>
      <w:r>
        <w:t xml:space="preserve"> </w:t>
      </w:r>
      <w:r>
        <w:t xml:space="preserve">as a</w:t>
      </w:r>
      <w:r>
        <w:t xml:space="preserve"> </w:t>
      </w:r>
      <w:r>
        <w:t xml:space="preserve">Natural Contrast Agent</w:t>
      </w:r>
      <w:r>
        <w:t xml:space="preserve">:</w:t>
      </w:r>
      <w:r>
        <w:t xml:space="preserve"> </w:t>
      </w:r>
      <w:r>
        <w:t xml:space="preserve">An MRI Study Using Altered Arterial Carbon Dioxide Tension</w:t>
      </w:r>
      <w:r>
        <w:t xml:space="preserve">.</w:t>
      </w:r>
      <w:r>
        <w:t xml:space="preserve"> </w:t>
      </w:r>
      <w:r>
        <w:rPr>
          <w:i/>
          <w:iCs/>
        </w:rPr>
        <w:t xml:space="preserve">Journal of Cerebral Blood Flow &amp; Metabolism</w:t>
      </w:r>
      <w:r>
        <w:t xml:space="preserve">. 1999;19(7):809-817. doi:</w:t>
      </w:r>
      <w:hyperlink r:id="rId185">
        <w:r>
          <w:rPr>
            <w:rStyle w:val="InternetLink"/>
          </w:rPr>
          <w:t xml:space="preserve">10.1097/00004647-199907000-00012</w:t>
        </w:r>
      </w:hyperlink>
    </w:p>
    <w:bookmarkEnd w:id="186"/>
    <w:bookmarkStart w:id="188" w:name="ref-chongCerebralMetabolicRate2015"/>
    <w:p>
      <w:pPr>
        <w:pStyle w:val="Bibliography"/>
      </w:pPr>
      <w:r>
        <w:t xml:space="preserve">55.</w:t>
      </w:r>
      <w:r>
        <w:t xml:space="preserve"> </w:t>
      </w:r>
      <w:r>
        <w:t xml:space="preserve">	</w:t>
      </w:r>
      <w:r>
        <w:t xml:space="preserve">Chong SP, Merkle CW, Leahy C, Srinivasan VJ. Cerebral metabolic rate of oxygen (</w:t>
      </w:r>
      <w:r>
        <w:t xml:space="preserve">CMRO</w:t>
      </w:r>
      <w:r>
        <w:t xml:space="preserve">_2) assessed by combined</w:t>
      </w:r>
      <w:r>
        <w:t xml:space="preserve"> </w:t>
      </w:r>
      <w:r>
        <w:t xml:space="preserve">Doppler</w:t>
      </w:r>
      <w:r>
        <w:t xml:space="preserve"> </w:t>
      </w:r>
      <w:r>
        <w:t xml:space="preserve">and spectroscopic</w:t>
      </w:r>
      <w:r>
        <w:t xml:space="preserve"> </w:t>
      </w:r>
      <w:r>
        <w:t xml:space="preserve">OCT</w:t>
      </w:r>
      <w:r>
        <w:t xml:space="preserve">.</w:t>
      </w:r>
      <w:r>
        <w:t xml:space="preserve"> </w:t>
      </w:r>
      <w:r>
        <w:rPr>
          <w:i/>
          <w:iCs/>
        </w:rPr>
        <w:t xml:space="preserve">Biomedical Optics Express</w:t>
      </w:r>
      <w:r>
        <w:t xml:space="preserve">. 2015;6(10):3941. doi:</w:t>
      </w:r>
      <w:hyperlink r:id="rId187">
        <w:r>
          <w:rPr>
            <w:rStyle w:val="InternetLink"/>
          </w:rPr>
          <w:t xml:space="preserve">10.1364/BOE.6.003941</w:t>
        </w:r>
      </w:hyperlink>
    </w:p>
    <w:bookmarkEnd w:id="188"/>
    <w:bookmarkStart w:id="189" w:name="X49453c0545b7de7f14f10cad417b18342e49481"/>
    <w:p>
      <w:pPr>
        <w:pStyle w:val="Bibliography"/>
      </w:pPr>
      <w:r>
        <w:t xml:space="preserve">56.</w:t>
      </w:r>
      <w:r>
        <w:t xml:space="preserve"> </w:t>
      </w:r>
      <w:r>
        <w:t xml:space="preserve">	</w:t>
      </w:r>
      <w:r>
        <w:t xml:space="preserve">R Core Team. R:</w:t>
      </w:r>
      <w:r>
        <w:t xml:space="preserve"> </w:t>
      </w:r>
      <w:r>
        <w:t xml:space="preserve">A Language</w:t>
      </w:r>
      <w:r>
        <w:t xml:space="preserve"> </w:t>
      </w:r>
      <w:r>
        <w:t xml:space="preserve">and</w:t>
      </w:r>
      <w:r>
        <w:t xml:space="preserve"> </w:t>
      </w:r>
      <w:r>
        <w:t xml:space="preserve">Environment</w:t>
      </w:r>
      <w:r>
        <w:t xml:space="preserve"> </w:t>
      </w:r>
      <w:r>
        <w:t xml:space="preserve">for</w:t>
      </w:r>
      <w:r>
        <w:t xml:space="preserve"> </w:t>
      </w:r>
      <w:r>
        <w:t xml:space="preserve">Statistical Computing</w:t>
      </w:r>
      <w:r>
        <w:t xml:space="preserve">. Published online 2022.</w:t>
      </w:r>
    </w:p>
    <w:bookmarkEnd w:id="189"/>
    <w:bookmarkStart w:id="190" w:name="X7900f1aa39fccc2c9e6c047234d47645d960668"/>
    <w:p>
      <w:pPr>
        <w:pStyle w:val="Bibliography"/>
      </w:pPr>
      <w:r>
        <w:t xml:space="preserve">57.</w:t>
      </w:r>
      <w:r>
        <w:t xml:space="preserve"> </w:t>
      </w:r>
      <w:r>
        <w:t xml:space="preserve">	</w:t>
      </w:r>
      <w:r>
        <w:t xml:space="preserve">RStudio Team.</w:t>
      </w:r>
      <w:r>
        <w:t xml:space="preserve"> </w:t>
      </w:r>
      <w:r>
        <w:t xml:space="preserve">RStudio</w:t>
      </w:r>
      <w:r>
        <w:t xml:space="preserve">:</w:t>
      </w:r>
      <w:r>
        <w:t xml:space="preserve"> </w:t>
      </w:r>
      <w:r>
        <w:t xml:space="preserve">Integrated Development Environment</w:t>
      </w:r>
      <w:r>
        <w:t xml:space="preserve"> </w:t>
      </w:r>
      <w:r>
        <w:t xml:space="preserve">for</w:t>
      </w:r>
      <w:r>
        <w:t xml:space="preserve"> </w:t>
      </w:r>
      <w:r>
        <w:t xml:space="preserve">R</w:t>
      </w:r>
      <w:r>
        <w:t xml:space="preserve">.</w:t>
      </w:r>
    </w:p>
    <w:bookmarkEnd w:id="190"/>
    <w:bookmarkStart w:id="192" w:name="ref-liuAssessmentCerebralBlood2019"/>
    <w:p>
      <w:pPr>
        <w:pStyle w:val="Bibliography"/>
      </w:pPr>
      <w:r>
        <w:t xml:space="preserve">58.</w:t>
      </w:r>
      <w:r>
        <w:t xml:space="preserve"> </w:t>
      </w:r>
      <w:r>
        <w:t xml:space="preserve">	</w:t>
      </w:r>
      <w:r>
        <w:t xml:space="preserve">Liu P, Qi Y, Lin Z, Guo Q, Wang X, Lu H. Assessment of cerebral blood flow in neonates and infants:</w:t>
      </w:r>
      <w:r>
        <w:t xml:space="preserve"> </w:t>
      </w:r>
      <w:r>
        <w:t xml:space="preserve">A</w:t>
      </w:r>
      <w:r>
        <w:t xml:space="preserve"> </w:t>
      </w:r>
      <w:r>
        <w:t xml:space="preserve">phase-contrast</w:t>
      </w:r>
      <w:r>
        <w:t xml:space="preserve"> </w:t>
      </w:r>
      <w:r>
        <w:t xml:space="preserve">MRI</w:t>
      </w:r>
      <w:r>
        <w:t xml:space="preserve"> </w:t>
      </w:r>
      <w:r>
        <w:t xml:space="preserve">study.</w:t>
      </w:r>
      <w:r>
        <w:t xml:space="preserve"> </w:t>
      </w:r>
      <w:r>
        <w:rPr>
          <w:i/>
          <w:iCs/>
        </w:rPr>
        <w:t xml:space="preserve">NeuroImage</w:t>
      </w:r>
      <w:r>
        <w:t xml:space="preserve">. 2019;185:926-933. doi:</w:t>
      </w:r>
      <w:hyperlink r:id="rId191">
        <w:r>
          <w:rPr>
            <w:rStyle w:val="InternetLink"/>
          </w:rPr>
          <w:t xml:space="preserve">10.1016/j.neuroimage.2018.03.020</w:t>
        </w:r>
      </w:hyperlink>
    </w:p>
    <w:bookmarkEnd w:id="192"/>
    <w:bookmarkStart w:id="194" w:name="ref-choCerebralMetabolicRate2018"/>
    <w:p>
      <w:pPr>
        <w:pStyle w:val="Bibliography"/>
      </w:pPr>
      <w:r>
        <w:t xml:space="preserve">59.</w:t>
      </w:r>
      <w:r>
        <w:t xml:space="preserve"> </w:t>
      </w:r>
      <w:r>
        <w:t xml:space="preserve">	</w:t>
      </w:r>
      <w:r>
        <w:t xml:space="preserve">Cho J, Kee Y, Spincemaille P, et al. Cerebral metabolic rate of oxygen (</w:t>
      </w:r>
      <w:r>
        <w:t xml:space="preserve">CMRO</w:t>
      </w:r>
      <w:r>
        <w:rPr>
          <w:vertAlign w:val="subscript"/>
        </w:rPr>
        <w:t xml:space="preserve">2</w:t>
      </w:r>
      <w:r>
        <w:t xml:space="preserve"> </w:t>
      </w:r>
      <w:r>
        <w:t xml:space="preserve">) mapping by combining quantitative susceptibility mapping (</w:t>
      </w:r>
      <w:r>
        <w:t xml:space="preserve">QSM</w:t>
      </w:r>
      <w:r>
        <w:t xml:space="preserve">) and quantitative blood oxygenation level-dependent imaging (</w:t>
      </w:r>
      <w:r>
        <w:t xml:space="preserve">qBOLD</w:t>
      </w:r>
      <w:r>
        <w:t xml:space="preserve">).</w:t>
      </w:r>
      <w:r>
        <w:t xml:space="preserve"> </w:t>
      </w:r>
      <w:r>
        <w:rPr>
          <w:i/>
          <w:iCs/>
        </w:rPr>
        <w:t xml:space="preserve">Magnetic Resonance in Medicine</w:t>
      </w:r>
      <w:r>
        <w:t xml:space="preserve">. 2018;80(4):1595-1604. doi:</w:t>
      </w:r>
      <w:hyperlink r:id="rId193">
        <w:r>
          <w:rPr>
            <w:rStyle w:val="InternetLink"/>
          </w:rPr>
          <w:t xml:space="preserve">10.1002/mrm.27135</w:t>
        </w:r>
      </w:hyperlink>
    </w:p>
    <w:bookmarkEnd w:id="194"/>
    <w:bookmarkStart w:id="196" w:name="ref-foxFocalPhysiologicalUncoupling1986"/>
    <w:p>
      <w:pPr>
        <w:pStyle w:val="Bibliography"/>
      </w:pPr>
      <w:r>
        <w:t xml:space="preserve">60.</w:t>
      </w:r>
      <w:r>
        <w:t xml:space="preserve"> </w:t>
      </w:r>
      <w:r>
        <w:t xml:space="preserve">	</w:t>
      </w:r>
      <w:r>
        <w:t xml:space="preserve">Fox PT, Raichle ME. Focal physiological uncoupling of cerebral blood flow and oxidative metabolism during somatosensory stimulation in human subjects.</w:t>
      </w:r>
      <w:r>
        <w:t xml:space="preserve"> </w:t>
      </w:r>
      <w:r>
        <w:rPr>
          <w:i/>
          <w:iCs/>
        </w:rPr>
        <w:t xml:space="preserve">Proceedings of the National Academy of Sciences</w:t>
      </w:r>
      <w:r>
        <w:t xml:space="preserve">. 1986;83(4):1140-1144. doi:</w:t>
      </w:r>
      <w:hyperlink r:id="rId195">
        <w:r>
          <w:rPr>
            <w:rStyle w:val="InternetLink"/>
          </w:rPr>
          <w:t xml:space="preserve">10.1073/pnas.83.4.1140</w:t>
        </w:r>
      </w:hyperlink>
    </w:p>
    <w:bookmarkEnd w:id="196"/>
    <w:bookmarkStart w:id="198" w:name="Xe9a7fb29cafcb30c8c7e4bfa180256a23e5af66"/>
    <w:p>
      <w:pPr>
        <w:pStyle w:val="Bibliography"/>
      </w:pPr>
      <w:r>
        <w:t xml:space="preserve">61.</w:t>
      </w:r>
      <w:r>
        <w:t xml:space="preserve"> </w:t>
      </w:r>
      <w:r>
        <w:t xml:space="preserve">	</w:t>
      </w:r>
      <w:r>
        <w:t xml:space="preserve">Henriksen OM, Gjedde A, Vang K, Law I, Aanerud J, Rostrup E. Regional and interindividual relationships between cerebral perfusion and oxygen metabolism.</w:t>
      </w:r>
      <w:r>
        <w:t xml:space="preserve"> </w:t>
      </w:r>
      <w:r>
        <w:rPr>
          <w:i/>
          <w:iCs/>
        </w:rPr>
        <w:t xml:space="preserve">Journal of Applied Physiology</w:t>
      </w:r>
      <w:r>
        <w:t xml:space="preserve">. 2021;130(6):1836-1847. doi:</w:t>
      </w:r>
      <w:hyperlink r:id="rId197">
        <w:r>
          <w:rPr>
            <w:rStyle w:val="InternetLink"/>
          </w:rPr>
          <w:t xml:space="preserve">10.1152/japplphysiol.00939.2020</w:t>
        </w:r>
      </w:hyperlink>
    </w:p>
    <w:bookmarkEnd w:id="198"/>
    <w:bookmarkStart w:id="200" w:name="ref-ishiiRegionalDifferenceCerebral1996"/>
    <w:p>
      <w:pPr>
        <w:pStyle w:val="Bibliography"/>
      </w:pPr>
      <w:r>
        <w:t xml:space="preserve">62.</w:t>
      </w:r>
      <w:r>
        <w:t xml:space="preserve"> </w:t>
      </w:r>
      <w:r>
        <w:t xml:space="preserve">	</w:t>
      </w:r>
      <w:r>
        <w:t xml:space="preserve">Ishii K, Sasaki M, Kitagaki H, Sakamoto S, Yamaji S, Maeda K.</w:t>
      </w:r>
      <w:r>
        <w:t xml:space="preserve"> </w:t>
      </w:r>
      <w:hyperlink r:id="rId199">
        <w:r>
          <w:rPr>
            <w:rStyle w:val="InternetLink"/>
          </w:rPr>
          <w:t xml:space="preserve">Regional difference in cerebral blood flow and oxidative metabolism in human cortex</w:t>
        </w:r>
      </w:hyperlink>
      <w:r>
        <w:t xml:space="preserve">.</w:t>
      </w:r>
      <w:r>
        <w:t xml:space="preserve"> </w:t>
      </w:r>
      <w:r>
        <w:rPr>
          <w:i/>
          <w:iCs/>
        </w:rPr>
        <w:t xml:space="preserve">Journal of Nuclear Medicine: Official Publication, Society of Nuclear Medicine</w:t>
      </w:r>
      <w:r>
        <w:t xml:space="preserve">. 1996;37(7):1086-1088.</w:t>
      </w:r>
    </w:p>
    <w:bookmarkEnd w:id="200"/>
    <w:bookmarkStart w:id="202" w:name="X894905b979ca18ae21fa8491f1ec823367d3c00"/>
    <w:p>
      <w:pPr>
        <w:pStyle w:val="Bibliography"/>
      </w:pPr>
      <w:r>
        <w:t xml:space="preserve">63.</w:t>
      </w:r>
      <w:r>
        <w:t xml:space="preserve"> </w:t>
      </w:r>
      <w:r>
        <w:t xml:space="preserve">	</w:t>
      </w:r>
      <w:r>
        <w:t xml:space="preserve">Shin HG, Lee J, Yun YH, et al.</w:t>
      </w:r>
      <w:r>
        <w:t xml:space="preserve"> </w:t>
      </w:r>
      <m:oMath>
        <m:r>
          <m:t>χ</m:t>
        </m:r>
      </m:oMath>
      <w:r>
        <w:t xml:space="preserve">-separation:</w:t>
      </w:r>
      <w:r>
        <w:t xml:space="preserve"> </w:t>
      </w:r>
      <w:r>
        <w:t xml:space="preserve">Magnetic</w:t>
      </w:r>
      <w:r>
        <w:t xml:space="preserve"> </w:t>
      </w:r>
      <w:r>
        <w:t xml:space="preserve">susceptibility source separation toward iron and myelin mapping in the brain.</w:t>
      </w:r>
      <w:r>
        <w:t xml:space="preserve"> </w:t>
      </w:r>
      <w:r>
        <w:rPr>
          <w:i/>
          <w:iCs/>
        </w:rPr>
        <w:t xml:space="preserve">NeuroImage</w:t>
      </w:r>
      <w:r>
        <w:t xml:space="preserve">. 2021;240:118371. doi:</w:t>
      </w:r>
      <w:hyperlink r:id="rId201">
        <w:r>
          <w:rPr>
            <w:rStyle w:val="InternetLink"/>
          </w:rPr>
          <w:t xml:space="preserve">10.1016/j.neuroimage.2021.118371</w:t>
        </w:r>
      </w:hyperlink>
    </w:p>
    <w:bookmarkEnd w:id="202"/>
    <w:bookmarkStart w:id="204" w:name="ref-carmichael-etal-magnetic"/>
    <w:p>
      <w:pPr>
        <w:pStyle w:val="Bibliography"/>
      </w:pPr>
      <w:r>
        <w:t xml:space="preserve">64.</w:t>
      </w:r>
      <w:r>
        <w:t xml:space="preserve"> </w:t>
      </w:r>
      <w:r>
        <w:t xml:space="preserve">	</w:t>
      </w:r>
      <w:r>
        <w:t xml:space="preserve">Carmichael TG, Rauscher A, Grunau RE, Weber AM. The application of magnetic susceptibility separation for measuring cerebral oxygenation in preterm neonates.</w:t>
      </w:r>
      <w:r>
        <w:t xml:space="preserve"> </w:t>
      </w:r>
      <w:r>
        <w:rPr>
          <w:i/>
          <w:iCs/>
        </w:rPr>
        <w:t xml:space="preserve">Pediatric Research</w:t>
      </w:r>
      <w:r>
        <w:t xml:space="preserve">. Published online March 2025. doi:</w:t>
      </w:r>
      <w:hyperlink r:id="rId203">
        <w:r>
          <w:rPr>
            <w:rStyle w:val="InternetLink"/>
          </w:rPr>
          <w:t xml:space="preserve">10.1038/s41390-025-03966-6</w:t>
        </w:r>
      </w:hyperlink>
    </w:p>
    <w:bookmarkEnd w:id="204"/>
    <w:bookmarkStart w:id="206" w:name="ref-kudoOxygenExtractionFraction2016"/>
    <w:p>
      <w:pPr>
        <w:pStyle w:val="Bibliography"/>
      </w:pPr>
      <w:r>
        <w:t xml:space="preserve">65.</w:t>
      </w:r>
      <w:r>
        <w:t xml:space="preserve"> </w:t>
      </w:r>
      <w:r>
        <w:t xml:space="preserve">	</w:t>
      </w:r>
      <w:r>
        <w:t xml:space="preserve">Kudo K, Liu T, Murakami T, et al. Oxygen extraction fraction measurement using quantitative susceptibility mapping:</w:t>
      </w:r>
      <w:r>
        <w:t xml:space="preserve"> </w:t>
      </w:r>
      <w:r>
        <w:t xml:space="preserve">Comparison</w:t>
      </w:r>
      <w:r>
        <w:t xml:space="preserve"> </w:t>
      </w:r>
      <w:r>
        <w:t xml:space="preserve">with positron emission tomography.</w:t>
      </w:r>
      <w:r>
        <w:t xml:space="preserve"> </w:t>
      </w:r>
      <w:r>
        <w:rPr>
          <w:i/>
          <w:iCs/>
        </w:rPr>
        <w:t xml:space="preserve">Journal of Cerebral Blood Flow &amp; Metabolism</w:t>
      </w:r>
      <w:r>
        <w:t xml:space="preserve">. 2016;36(8):1424-1433. doi:</w:t>
      </w:r>
      <w:hyperlink r:id="rId205">
        <w:r>
          <w:rPr>
            <w:rStyle w:val="InternetLink"/>
          </w:rPr>
          <w:t xml:space="preserve">10.1177/0271678X15606713</w:t>
        </w:r>
      </w:hyperlink>
    </w:p>
    <w:bookmarkEnd w:id="206"/>
    <w:bookmarkStart w:id="208" w:name="ref-rantakariEarlyOxygenLevels2021"/>
    <w:p>
      <w:pPr>
        <w:pStyle w:val="Bibliography"/>
      </w:pPr>
      <w:r>
        <w:t xml:space="preserve">66.</w:t>
      </w:r>
      <w:r>
        <w:t xml:space="preserve"> </w:t>
      </w:r>
      <w:r>
        <w:t xml:space="preserve">	</w:t>
      </w:r>
      <w:r>
        <w:t xml:space="preserve">Rantakari K, Rinta-Koski OP, Metsäranta M, et al. Early oxygen levels contribute to brain injury in extremely preterm infants.</w:t>
      </w:r>
      <w:r>
        <w:t xml:space="preserve"> </w:t>
      </w:r>
      <w:r>
        <w:rPr>
          <w:i/>
          <w:iCs/>
        </w:rPr>
        <w:t xml:space="preserve">Pediatric Research</w:t>
      </w:r>
      <w:r>
        <w:t xml:space="preserve">. 2021;90(1):131-139. doi:</w:t>
      </w:r>
      <w:hyperlink r:id="rId207">
        <w:r>
          <w:rPr>
            <w:rStyle w:val="InternetLink"/>
          </w:rPr>
          <w:t xml:space="preserve">10.1038/s41390-021-01460-3</w:t>
        </w:r>
      </w:hyperlink>
    </w:p>
    <w:bookmarkEnd w:id="208"/>
    <w:bookmarkEnd w:id="209"/>
    <w:bookmarkStart w:id="210" w:name="X59a4a19377e7ac7c46c8cf1373832b0758f7008"/>
    <w:bookmarkEnd w:id="210"/>
    <w:bookmarkEnd w:id="211"/>
    <w:sectPr>
      <w:footnotePr>
        <w:numFmt w:val="decimal"/>
      </w:footnotePr>
      <w:type w:val="nextPage"/>
      <w:pgSz w:h="15840" w:w="12240"/>
      <w:pgMar w:bottom="1440" w:footer="0" w:gutter="0" w:header="0" w:left="1440" w:right="1440" w:top="1440"/>
      <w:lnNumType w:countBy="1" w:distance="283" w:restart="continuous"/>
      <w:pgNumType w:fmt="decimal"/>
      <w:formProt w:val="false"/>
      <w:textDirection w:val="lrTb"/>
      <w:docGrid w:charSpace="0" w:linePitch="100" w:type="default"/>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ptos">
    <w:charset w:val="01"/>
    <w:family w:val="roman"/>
    <w:pitch w:val="variable"/>
  </w:font>
  <w:font w:name="Aptos Display">
    <w:charset w:val="01"/>
    <w:family w:val="roman"/>
    <w:pitch w:val="variable"/>
  </w:font>
  <w:font w:name="Consolas">
    <w:charset w:val="01"/>
    <w:family w:val="roman"/>
    <w:pitch w:val="variable"/>
  </w:font>
  <w:font w:name="Liberation Sans">
    <w:altName w:val="Arial"/>
    <w:charset w:val="01"/>
    <w:family w:val="roman"/>
    <w:pitch w:val="variable"/>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autoHyphenation w:val="true"/>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2"/>
  </w:compat>
  <w:rsids>
  </w:rsids>
  <w:themeFontLang w:bidi="" w:eastAsia=""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Aptos" w:asciiTheme="minorHAnsi" w:cs="" w:cstheme="minorBidi" w:eastAsia="Aptos" w:eastAsiaTheme="minorHAnsi" w:hAnsi="Aptos" w:hAnsiTheme="minorHAnsi"/>
        <w:sz w:val="24"/>
        <w:szCs w:val="24"/>
        <w:lang w:bidi="ar-SA" w:eastAsia="en-US" w:val="en-US"/>
      </w:rPr>
    </w:rPrDefault>
    <w:pPrDefault>
      <w:pPr>
        <w:suppressAutoHyphens w:val="true"/>
      </w:pPr>
    </w:pPrDefault>
  </w:docDefaults>
  <w:latentStyles w:count="276" w:defLockedState="0" w:defQFormat="0" w:defSemiHidden="0" w:defUIPriority="0" w:defUnhideWhenUsed="0"/>
  <w:style w:default="1" w:styleId="Normal" w:type="paragraph">
    <w:name w:val="Normal"/>
    <w:qFormat/>
    <w:pPr>
      <w:widowControl/>
      <w:suppressAutoHyphens w:val="true"/>
      <w:bidi w:val="0"/>
      <w:spacing w:after="200" w:before="0"/>
      <w:jc w:val="left"/>
    </w:pPr>
    <w:rPr>
      <w:rFonts w:ascii="Aptos" w:asciiTheme="minorHAnsi" w:cs="" w:cstheme="minorBidi" w:eastAsia="Aptos" w:eastAsiaTheme="minorHAnsi" w:hAnsi="Aptos" w:hAnsiTheme="minorHAnsi"/>
      <w:color w:val="auto"/>
      <w:kern w:val="0"/>
      <w:sz w:val="24"/>
      <w:szCs w:val="24"/>
      <w:lang w:bidi="ar-SA" w:eastAsia="en-US" w:val="en-US"/>
    </w:rPr>
  </w:style>
  <w:style w:styleId="Heading1" w:type="paragraph">
    <w:name w:val="Heading 1"/>
    <w:basedOn w:val="Normal"/>
    <w:next w:val="TextBody"/>
    <w:link w:val="Heading1Char"/>
    <w:uiPriority w:val="9"/>
    <w:qFormat/>
    <w:rsid w:val="00a10fd9"/>
    <w:pPr>
      <w:keepNext w:val="true"/>
      <w:keepLines/>
      <w:spacing w:after="80" w:before="360"/>
      <w:outlineLvl w:val="0"/>
    </w:pPr>
    <w:rPr>
      <w:rFonts w:ascii="Aptos Display" w:asciiTheme="majorHAnsi" w:cs="" w:cstheme="majorBidi" w:eastAsia="" w:eastAsiaTheme="majorEastAsia" w:hAnsi="Aptos Display" w:hAnsiTheme="majorHAnsi"/>
      <w:color w:themeShade="bf" w:val="000000"/>
      <w:sz w:val="40"/>
      <w:szCs w:val="40"/>
    </w:rPr>
  </w:style>
  <w:style w:styleId="Heading2" w:type="paragraph">
    <w:name w:val="Heading 2"/>
    <w:basedOn w:val="Normal"/>
    <w:next w:val="TextBody"/>
    <w:link w:val="Heading2Char"/>
    <w:uiPriority w:val="9"/>
    <w:semiHidden/>
    <w:unhideWhenUsed/>
    <w:qFormat/>
    <w:rsid w:val="00a10fd9"/>
    <w:pPr>
      <w:keepNext w:val="true"/>
      <w:keepLines/>
      <w:spacing w:after="80" w:before="160"/>
      <w:outlineLvl w:val="1"/>
    </w:pPr>
    <w:rPr>
      <w:rFonts w:ascii="Aptos Display" w:asciiTheme="majorHAnsi" w:cs="" w:cstheme="majorBidi" w:eastAsia="" w:eastAsiaTheme="majorEastAsia" w:hAnsi="Aptos Display" w:hAnsiTheme="majorHAnsi"/>
      <w:color w:themeShade="bf" w:val="000000"/>
      <w:sz w:val="32"/>
      <w:szCs w:val="32"/>
    </w:rPr>
  </w:style>
  <w:style w:styleId="Heading3" w:type="paragraph">
    <w:name w:val="Heading 3"/>
    <w:basedOn w:val="Normal"/>
    <w:next w:val="TextBody"/>
    <w:link w:val="Heading3Char"/>
    <w:uiPriority w:val="9"/>
    <w:semiHidden/>
    <w:unhideWhenUsed/>
    <w:qFormat/>
    <w:rsid w:val="00a10fd9"/>
    <w:pPr>
      <w:keepNext w:val="true"/>
      <w:keepLines/>
      <w:spacing w:after="80" w:before="160"/>
      <w:outlineLvl w:val="2"/>
    </w:pPr>
    <w:rPr>
      <w:rFonts w:cs="" w:cstheme="majorBidi" w:eastAsia="" w:eastAsiaTheme="majorEastAsia"/>
      <w:color w:themeShade="bf" w:val="000000"/>
      <w:sz w:val="28"/>
      <w:szCs w:val="28"/>
    </w:rPr>
  </w:style>
  <w:style w:styleId="Heading4" w:type="paragraph">
    <w:name w:val="Heading 4"/>
    <w:basedOn w:val="Normal"/>
    <w:next w:val="TextBody"/>
    <w:link w:val="Heading4Char"/>
    <w:uiPriority w:val="9"/>
    <w:semiHidden/>
    <w:unhideWhenUsed/>
    <w:qFormat/>
    <w:rsid w:val="00a10fd9"/>
    <w:pPr>
      <w:keepNext w:val="true"/>
      <w:keepLines/>
      <w:spacing w:after="40" w:before="80"/>
      <w:outlineLvl w:val="3"/>
    </w:pPr>
    <w:rPr>
      <w:rFonts w:cs="" w:cstheme="majorBidi" w:eastAsia="" w:eastAsiaTheme="majorEastAsia"/>
      <w:i/>
      <w:iCs/>
      <w:color w:themeShade="bf" w:val="000000"/>
    </w:rPr>
  </w:style>
  <w:style w:styleId="Heading5" w:type="paragraph">
    <w:name w:val="Heading 5"/>
    <w:basedOn w:val="Normal"/>
    <w:next w:val="TextBody"/>
    <w:link w:val="Heading5Char"/>
    <w:uiPriority w:val="9"/>
    <w:semiHidden/>
    <w:unhideWhenUsed/>
    <w:qFormat/>
    <w:rsid w:val="00a10fd9"/>
    <w:pPr>
      <w:keepNext w:val="true"/>
      <w:keepLines/>
      <w:spacing w:after="40" w:before="80"/>
      <w:outlineLvl w:val="4"/>
    </w:pPr>
    <w:rPr>
      <w:rFonts w:cs="" w:cstheme="majorBidi" w:eastAsia="" w:eastAsiaTheme="majorEastAsia"/>
      <w:color w:themeColor="accent1" w:themeShade="bf" w:val="0F4761"/>
    </w:rPr>
  </w:style>
  <w:style w:styleId="Heading6" w:type="paragraph">
    <w:name w:val="Heading 6"/>
    <w:basedOn w:val="Normal"/>
    <w:next w:val="TextBody"/>
    <w:link w:val="Heading6Char"/>
    <w:uiPriority w:val="9"/>
    <w:semiHidden/>
    <w:unhideWhenUsed/>
    <w:qFormat/>
    <w:rsid w:val="00a10fd9"/>
    <w:pPr>
      <w:keepNext w:val="true"/>
      <w:keepLines/>
      <w:spacing w:after="0" w:before="40"/>
      <w:outlineLvl w:val="5"/>
    </w:pPr>
    <w:rPr>
      <w:rFonts w:cs="" w:cstheme="majorBidi" w:eastAsia="" w:eastAsiaTheme="majorEastAsia"/>
      <w:i/>
      <w:iCs/>
      <w:color w:themeColor="text1" w:themeTint="a6" w:val="595959"/>
    </w:rPr>
  </w:style>
  <w:style w:styleId="Heading7" w:type="paragraph">
    <w:name w:val="Heading 7"/>
    <w:basedOn w:val="Normal"/>
    <w:next w:val="TextBody"/>
    <w:link w:val="Heading7Char"/>
    <w:uiPriority w:val="9"/>
    <w:semiHidden/>
    <w:unhideWhenUsed/>
    <w:qFormat/>
    <w:rsid w:val="00a10fd9"/>
    <w:pPr>
      <w:keepNext w:val="true"/>
      <w:keepLines/>
      <w:spacing w:after="0" w:before="40"/>
      <w:outlineLvl w:val="6"/>
    </w:pPr>
    <w:rPr>
      <w:rFonts w:cs="" w:cstheme="majorBidi" w:eastAsia="" w:eastAsiaTheme="majorEastAsia"/>
      <w:color w:themeColor="text1" w:themeTint="a6" w:val="595959"/>
    </w:rPr>
  </w:style>
  <w:style w:styleId="Heading8" w:type="paragraph">
    <w:name w:val="Heading 8"/>
    <w:basedOn w:val="Normal"/>
    <w:next w:val="TextBody"/>
    <w:link w:val="Heading8Char"/>
    <w:uiPriority w:val="9"/>
    <w:semiHidden/>
    <w:unhideWhenUsed/>
    <w:qFormat/>
    <w:rsid w:val="00a10fd9"/>
    <w:pPr>
      <w:keepNext w:val="true"/>
      <w:keepLines/>
      <w:spacing w:after="0" w:before="0"/>
      <w:outlineLvl w:val="7"/>
    </w:pPr>
    <w:rPr>
      <w:rFonts w:cs="" w:cstheme="majorBidi" w:eastAsia="" w:eastAsiaTheme="majorEastAsia"/>
      <w:i/>
      <w:iCs/>
      <w:color w:themeColor="text1" w:themeTint="d8" w:val="272727"/>
    </w:rPr>
  </w:style>
  <w:style w:styleId="Heading9" w:type="paragraph">
    <w:name w:val="Heading 9"/>
    <w:basedOn w:val="Normal"/>
    <w:next w:val="TextBody"/>
    <w:link w:val="Heading9Char"/>
    <w:uiPriority w:val="9"/>
    <w:semiHidden/>
    <w:unhideWhenUsed/>
    <w:qFormat/>
    <w:rsid w:val="00a10fd9"/>
    <w:pPr>
      <w:keepNext w:val="true"/>
      <w:keepLines/>
      <w:spacing w:after="0" w:before="0"/>
      <w:outlineLvl w:val="8"/>
    </w:pPr>
    <w:rPr>
      <w:rFonts w:cs="" w:cstheme="majorBidi" w:eastAsia="" w:eastAsiaTheme="majorEastAsia"/>
      <w:color w:themeColor="text1" w:themeTint="d8" w:val="272727"/>
    </w:rPr>
  </w:style>
  <w:style w:customStyle="1" w:styleId="TitleChar" w:type="character">
    <w:name w:val="Title Char"/>
    <w:basedOn w:val="DefaultParagraphFont"/>
    <w:link w:val="Title"/>
    <w:uiPriority w:val="10"/>
    <w:qFormat/>
    <w:rsid w:val="00a10fd9"/>
    <w:rPr>
      <w:rFonts w:ascii="Aptos Display" w:asciiTheme="majorHAnsi" w:cs="" w:cstheme="majorBidi" w:eastAsia="" w:eastAsiaTheme="majorEastAsia" w:hAnsi="Aptos Display" w:hAnsiTheme="majorHAnsi"/>
      <w:spacing w:val="-10"/>
      <w:kern w:val="2"/>
      <w:sz w:val="56"/>
      <w:szCs w:val="56"/>
    </w:rPr>
  </w:style>
  <w:style w:customStyle="1" w:styleId="SubtitleChar" w:type="character">
    <w:name w:val="Subtitle Char"/>
    <w:basedOn w:val="DefaultParagraphFont"/>
    <w:link w:val="Subtitle"/>
    <w:uiPriority w:val="11"/>
    <w:qFormat/>
    <w:rsid w:val="00a10fd9"/>
    <w:rPr>
      <w:rFonts w:cs="" w:cstheme="majorBidi" w:eastAsia="" w:eastAsiaTheme="majorEastAsia"/>
      <w:color w:themeColor="text1" w:themeTint="a6" w:val="595959"/>
      <w:spacing w:val="15"/>
      <w:sz w:val="28"/>
      <w:szCs w:val="28"/>
    </w:rPr>
  </w:style>
  <w:style w:customStyle="1" w:styleId="Heading1Char" w:type="character">
    <w:name w:val="Heading 1 Char"/>
    <w:basedOn w:val="DefaultParagraphFont"/>
    <w:link w:val="Heading1"/>
    <w:uiPriority w:val="9"/>
    <w:qFormat/>
    <w:rsid w:val="00a10fd9"/>
    <w:rPr>
      <w:rFonts w:ascii="Aptos Display" w:asciiTheme="majorHAnsi" w:cs="" w:cstheme="majorBidi" w:eastAsia="" w:eastAsiaTheme="majorEastAsia" w:hAnsi="Aptos Display" w:hAnsiTheme="majorHAnsi"/>
      <w:color w:themeColor="accent1" w:themeShade="bf" w:val="0F4761"/>
      <w:sz w:val="40"/>
      <w:szCs w:val="40"/>
    </w:rPr>
  </w:style>
  <w:style w:customStyle="1" w:styleId="Heading2Char" w:type="character">
    <w:name w:val="Heading 2 Char"/>
    <w:basedOn w:val="DefaultParagraphFont"/>
    <w:link w:val="Heading2"/>
    <w:uiPriority w:val="9"/>
    <w:semiHidden/>
    <w:qFormat/>
    <w:rsid w:val="00a10fd9"/>
    <w:rPr>
      <w:rFonts w:ascii="Aptos Display" w:asciiTheme="majorHAnsi" w:cs="" w:cstheme="majorBidi" w:eastAsia="" w:eastAsiaTheme="majorEastAsia" w:hAnsi="Aptos Display" w:hAnsiTheme="majorHAnsi"/>
      <w:color w:themeColor="accent1" w:themeShade="bf" w:val="0F4761"/>
      <w:sz w:val="32"/>
      <w:szCs w:val="32"/>
    </w:rPr>
  </w:style>
  <w:style w:customStyle="1" w:styleId="Heading3Char" w:type="character">
    <w:name w:val="Heading 3 Char"/>
    <w:basedOn w:val="DefaultParagraphFont"/>
    <w:link w:val="Heading3"/>
    <w:uiPriority w:val="9"/>
    <w:semiHidden/>
    <w:qFormat/>
    <w:rsid w:val="00a10fd9"/>
    <w:rPr>
      <w:rFonts w:cs="" w:cstheme="majorBidi" w:eastAsia=""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qFormat/>
    <w:rsid w:val="00a10fd9"/>
    <w:rPr>
      <w:rFonts w:cs="" w:cstheme="majorBidi" w:eastAsia="" w:eastAsiaTheme="majorEastAsia"/>
      <w:i/>
      <w:iCs/>
      <w:color w:themeColor="accent1" w:themeShade="bf" w:val="0F4761"/>
    </w:rPr>
  </w:style>
  <w:style w:customStyle="1" w:styleId="Heading5Char" w:type="character">
    <w:name w:val="Heading 5 Char"/>
    <w:basedOn w:val="DefaultParagraphFont"/>
    <w:link w:val="Heading5"/>
    <w:uiPriority w:val="9"/>
    <w:semiHidden/>
    <w:qFormat/>
    <w:rsid w:val="00a10fd9"/>
    <w:rPr>
      <w:rFonts w:cs="" w:cstheme="majorBidi" w:eastAsia="" w:eastAsiaTheme="majorEastAsia"/>
      <w:color w:themeColor="accent1" w:themeShade="bf" w:val="0F4761"/>
    </w:rPr>
  </w:style>
  <w:style w:customStyle="1" w:styleId="Heading6Char" w:type="character">
    <w:name w:val="Heading 6 Char"/>
    <w:basedOn w:val="DefaultParagraphFont"/>
    <w:link w:val="Heading6"/>
    <w:uiPriority w:val="9"/>
    <w:semiHidden/>
    <w:qFormat/>
    <w:rsid w:val="00a10fd9"/>
    <w:rPr>
      <w:rFonts w:cs="" w:cstheme="majorBidi" w:eastAsia="" w:eastAsiaTheme="majorEastAsia"/>
      <w:i/>
      <w:iCs/>
      <w:color w:themeColor="text1" w:themeTint="a6" w:val="595959"/>
    </w:rPr>
  </w:style>
  <w:style w:customStyle="1" w:styleId="Heading7Char" w:type="character">
    <w:name w:val="Heading 7 Char"/>
    <w:basedOn w:val="DefaultParagraphFont"/>
    <w:link w:val="Heading7"/>
    <w:uiPriority w:val="9"/>
    <w:semiHidden/>
    <w:qFormat/>
    <w:rsid w:val="00a10fd9"/>
    <w:rPr>
      <w:rFonts w:cs="" w:cstheme="majorBidi" w:eastAsia="" w:eastAsiaTheme="majorEastAsia"/>
      <w:color w:themeColor="text1" w:themeTint="a6" w:val="595959"/>
    </w:rPr>
  </w:style>
  <w:style w:customStyle="1" w:styleId="Heading8Char" w:type="character">
    <w:name w:val="Heading 8 Char"/>
    <w:basedOn w:val="DefaultParagraphFont"/>
    <w:link w:val="Heading8"/>
    <w:uiPriority w:val="9"/>
    <w:semiHidden/>
    <w:qFormat/>
    <w:rsid w:val="00a10fd9"/>
    <w:rPr>
      <w:rFonts w:cs="" w:cstheme="majorBidi" w:eastAsia="" w:eastAsiaTheme="majorEastAsia"/>
      <w:i/>
      <w:iCs/>
      <w:color w:themeColor="text1" w:themeTint="d8" w:val="272727"/>
    </w:rPr>
  </w:style>
  <w:style w:customStyle="1" w:styleId="Heading9Char" w:type="character">
    <w:name w:val="Heading 9 Char"/>
    <w:basedOn w:val="DefaultParagraphFont"/>
    <w:link w:val="Heading9"/>
    <w:uiPriority w:val="9"/>
    <w:semiHidden/>
    <w:qFormat/>
    <w:rsid w:val="00a10fd9"/>
    <w:rPr>
      <w:rFonts w:cs="" w:cstheme="majorBidi" w:eastAsia="" w:eastAsiaTheme="majorEastAsia"/>
      <w:color w:themeColor="text1" w:themeTint="d8" w:val="272727"/>
    </w:rPr>
  </w:style>
  <w:style w:default="1" w:styleId="DefaultParagraphFont" w:type="character">
    <w:name w:val="Default Paragraph Font"/>
    <w:semiHidden/>
    <w:unhideWhenUsed/>
    <w:qFormat/>
    <w:rPr/>
  </w:style>
  <w:style w:customStyle="1" w:styleId="BodyTextChar" w:type="character">
    <w:name w:val="Body Text Char"/>
    <w:basedOn w:val="DefaultParagraphFont"/>
    <w:qFormat/>
    <w:rPr/>
  </w:style>
  <w:style w:customStyle="1" w:styleId="VerbatimChar" w:type="character">
    <w:name w:val="Verbatim Char"/>
    <w:basedOn w:val="BodyTextChar"/>
    <w:qFormat/>
    <w:rPr>
      <w:rFonts w:ascii="Consolas" w:hAnsi="Consolas"/>
      <w:sz w:val="22"/>
    </w:rPr>
  </w:style>
  <w:style w:customStyle="1" w:styleId="SectionNumber" w:type="character">
    <w:name w:val="Section Number"/>
    <w:basedOn w:val="BodyTextChar"/>
    <w:qFormat/>
    <w:rPr/>
  </w:style>
  <w:style w:styleId="FootnoteCharacters" w:type="character">
    <w:name w:val="Footnote Characters"/>
    <w:basedOn w:val="BodyTextChar"/>
    <w:qFormat/>
    <w:rPr>
      <w:vertAlign w:val="superscript"/>
    </w:rPr>
  </w:style>
  <w:style w:styleId="FootnoteAnchor" w:type="character">
    <w:name w:val="Footnote Anchor"/>
    <w:rPr>
      <w:vertAlign w:val="superscript"/>
    </w:rPr>
  </w:style>
  <w:style w:styleId="InternetLink" w:type="character">
    <w:name w:val="Hyperlink"/>
    <w:basedOn w:val="BodyTextChar"/>
    <w:rPr>
      <w:color w:themeColor="accent1" w:val="4F81BD"/>
    </w:rPr>
  </w:style>
  <w:style w:styleId="LineNumbering" w:type="character">
    <w:name w:val="Line Numbering"/>
    <w:rPr/>
  </w:style>
  <w:style w:styleId="EndnoteAnchor" w:type="character">
    <w:name w:val="Endnote Anchor"/>
    <w:rPr>
      <w:vertAlign w:val="superscript"/>
    </w:rPr>
  </w:style>
  <w:style w:styleId="EndnoteCharacters" w:type="character">
    <w:name w:val="Endnote Characters"/>
    <w:qFormat/>
    <w:rPr/>
  </w:style>
  <w:style w:styleId="Heading" w:type="paragraph">
    <w:name w:val="Heading"/>
    <w:basedOn w:val="Normal"/>
    <w:next w:val="TextBody"/>
    <w:qFormat/>
    <w:pPr>
      <w:keepNext w:val="true"/>
      <w:spacing w:after="120" w:before="240"/>
    </w:pPr>
    <w:rPr>
      <w:rFonts w:ascii="Liberation Sans" w:cs="FreeSans" w:eastAsia="Noto Sans CJK SC" w:hAnsi="Liberation Sans"/>
      <w:sz w:val="28"/>
      <w:szCs w:val="28"/>
    </w:rPr>
  </w:style>
  <w:style w:styleId="TextBody" w:type="paragraph">
    <w:name w:val="Body Text"/>
    <w:basedOn w:val="Normal"/>
    <w:link w:val="BodyTextChar"/>
    <w:qFormat/>
    <w:pPr>
      <w:spacing w:after="180" w:before="180" w:line="480" w:lineRule="auto"/>
      <w:ind w:hanging="0" w:left="0" w:right="0"/>
    </w:pPr>
    <w:rPr/>
  </w:style>
  <w:style w:styleId="List" w:type="paragraph">
    <w:name w:val="List"/>
    <w:basedOn w:val="TextBody"/>
    <w:pPr/>
    <w:rPr>
      <w:rFonts w:cs="FreeSans"/>
    </w:rPr>
  </w:style>
  <w:style w:styleId="Caption" w:type="paragraph">
    <w:name w:val="Caption"/>
    <w:basedOn w:val="Normal"/>
    <w:link w:val="BodyTextChar"/>
    <w:qFormat/>
    <w:pPr>
      <w:spacing w:after="120" w:before="0"/>
    </w:pPr>
    <w:rPr>
      <w:i/>
    </w:rPr>
  </w:style>
  <w:style w:styleId="Index" w:type="paragraph">
    <w:name w:val="Index"/>
    <w:basedOn w:val="Normal"/>
    <w:qFormat/>
    <w:pPr>
      <w:suppressLineNumbers/>
    </w:pPr>
    <w:rPr>
      <w:rFonts w:cs="FreeSans"/>
    </w:rPr>
  </w:style>
  <w:style w:customStyle="1" w:styleId="FirstParagraph" w:type="paragraph">
    <w:name w:val="First Paragraph"/>
    <w:basedOn w:val="TextBody"/>
    <w:next w:val="TextBody"/>
    <w:qFormat/>
    <w:pPr>
      <w:spacing w:line="480" w:lineRule="auto"/>
      <w:ind w:hanging="0" w:left="0" w:right="0"/>
    </w:pPr>
    <w:rPr/>
  </w:style>
  <w:style w:customStyle="1" w:styleId="Compact" w:type="paragraph">
    <w:name w:val="Compact"/>
    <w:basedOn w:val="TextBody"/>
    <w:qFormat/>
    <w:pPr>
      <w:spacing w:after="36" w:before="36" w:line="240" w:lineRule="auto"/>
    </w:pPr>
    <w:rPr/>
  </w:style>
  <w:style w:styleId="Title" w:type="paragraph">
    <w:name w:val="Title"/>
    <w:basedOn w:val="Normal"/>
    <w:next w:val="TextBody"/>
    <w:link w:val="TitleChar"/>
    <w:uiPriority w:val="10"/>
    <w:qFormat/>
    <w:rsid w:val="00a10fd9"/>
    <w:pPr>
      <w:spacing w:after="80" w:before="0" w:line="240" w:lineRule="auto"/>
      <w:contextualSpacing/>
      <w:jc w:val="center"/>
    </w:pPr>
    <w:rPr>
      <w:rFonts w:ascii="Aptos Display" w:asciiTheme="majorHAnsi" w:cs="" w:cstheme="majorBidi" w:eastAsia="" w:eastAsiaTheme="majorEastAsia" w:hAnsi="Aptos Display" w:hAnsiTheme="majorHAnsi"/>
      <w:spacing w:val="-10"/>
      <w:kern w:val="2"/>
      <w:sz w:val="56"/>
      <w:szCs w:val="56"/>
    </w:rPr>
  </w:style>
  <w:style w:styleId="Subtitle" w:type="paragraph">
    <w:name w:val="Subtitle"/>
    <w:basedOn w:val="Title"/>
    <w:next w:val="TextBody"/>
    <w:link w:val="SubtitleChar"/>
    <w:uiPriority w:val="11"/>
    <w:qFormat/>
    <w:rsid w:val="00a10fd9"/>
    <w:pPr/>
    <w:rPr>
      <w:rFonts w:cs="" w:cstheme="majorBidi" w:eastAsia="" w:eastAsiaTheme="majorEastAsia"/>
      <w:spacing w:val="15"/>
      <w:sz w:val="28"/>
      <w:szCs w:val="28"/>
    </w:rPr>
  </w:style>
  <w:style w:customStyle="1" w:styleId="Author" w:type="paragraph">
    <w:name w:val="Author"/>
    <w:next w:val="TextBody"/>
    <w:qFormat/>
    <w:pPr>
      <w:keepNext w:val="true"/>
      <w:keepLines/>
      <w:widowControl/>
      <w:suppressAutoHyphens w:val="true"/>
      <w:bidi w:val="0"/>
      <w:spacing w:after="200" w:before="0"/>
      <w:jc w:val="center"/>
    </w:pPr>
    <w:rPr>
      <w:rFonts w:ascii="Aptos" w:asciiTheme="minorHAnsi" w:cs="" w:cstheme="minorBidi" w:eastAsia="Aptos" w:eastAsiaTheme="minorHAnsi" w:hAnsi="Aptos" w:hAnsiTheme="minorHAnsi"/>
      <w:color w:val="auto"/>
      <w:kern w:val="0"/>
      <w:sz w:val="24"/>
      <w:szCs w:val="24"/>
      <w:lang w:bidi="ar-SA" w:eastAsia="en-US" w:val="en-US"/>
    </w:rPr>
  </w:style>
  <w:style w:styleId="Date" w:type="paragraph">
    <w:name w:val="Date"/>
    <w:next w:val="TextBody"/>
    <w:qFormat/>
    <w:pPr>
      <w:keepNext w:val="true"/>
      <w:keepLines/>
      <w:widowControl/>
      <w:suppressAutoHyphens w:val="true"/>
      <w:bidi w:val="0"/>
      <w:spacing w:after="200" w:before="0"/>
      <w:jc w:val="center"/>
    </w:pPr>
    <w:rPr>
      <w:rFonts w:ascii="Aptos" w:asciiTheme="minorHAnsi" w:cs="" w:cstheme="minorBidi" w:eastAsia="Aptos" w:eastAsiaTheme="minorHAnsi" w:hAnsi="Aptos" w:hAnsiTheme="minorHAnsi"/>
      <w:color w:val="auto"/>
      <w:kern w:val="0"/>
      <w:sz w:val="24"/>
      <w:szCs w:val="24"/>
      <w:lang w:bidi="ar-SA" w:eastAsia="en-US" w:val="en-US"/>
    </w:rPr>
  </w:style>
  <w:style w:customStyle="1" w:styleId="AbstractTitle" w:type="paragraph">
    <w:name w:val="Abstract Title"/>
    <w:basedOn w:val="Normal"/>
    <w:next w:val="Abstract"/>
    <w:qFormat/>
    <w:pPr>
      <w:keepNext w:val="true"/>
      <w:keepLines/>
      <w:spacing w:after="0" w:before="300"/>
      <w:jc w:val="center"/>
    </w:pPr>
    <w:rPr>
      <w:b/>
      <w:sz w:val="20"/>
      <w:szCs w:val="20"/>
    </w:rPr>
  </w:style>
  <w:style w:customStyle="1" w:styleId="Abstract" w:type="paragraph">
    <w:name w:val="Abstract"/>
    <w:basedOn w:val="Normal"/>
    <w:next w:val="TextBody"/>
    <w:qFormat/>
    <w:pPr>
      <w:keepNext w:val="true"/>
      <w:keepLines/>
      <w:spacing w:after="300" w:before="100"/>
    </w:pPr>
    <w:rPr>
      <w:sz w:val="20"/>
      <w:szCs w:val="20"/>
    </w:rPr>
  </w:style>
  <w:style w:styleId="Bibliography" w:type="paragraph">
    <w:name w:val="Bibliography"/>
    <w:basedOn w:val="Normal"/>
    <w:qFormat/>
    <w:pPr/>
    <w:rPr/>
  </w:style>
  <w:style w:styleId="BlockText" w:type="paragraph">
    <w:name w:val="Block Text"/>
    <w:basedOn w:val="TextBody"/>
    <w:next w:val="TextBody"/>
    <w:uiPriority w:val="9"/>
    <w:unhideWhenUsed/>
    <w:qFormat/>
    <w:pPr>
      <w:spacing w:after="100" w:before="100"/>
      <w:ind w:hanging="0" w:left="480" w:right="480"/>
    </w:pPr>
    <w:rPr/>
  </w:style>
  <w:style w:styleId="Footnote" w:type="paragraph">
    <w:name w:val="Footnote Text"/>
    <w:basedOn w:val="Normal"/>
    <w:uiPriority w:val="9"/>
    <w:unhideWhenUsed/>
    <w:qFormat/>
    <w:pPr/>
    <w:rPr/>
  </w:style>
  <w:style w:styleId="FootnoteBlockText" w:type="paragraph">
    <w:name w:val="Footnote Block Text"/>
    <w:basedOn w:val="Footnote"/>
    <w:next w:val="Footnote"/>
    <w:uiPriority w:val="9"/>
    <w:unhideWhenUsed/>
    <w:qFormat/>
    <w:pPr>
      <w:spacing w:after="100" w:before="100"/>
      <w:ind w:hanging="0" w:left="480" w:right="480"/>
    </w:pPr>
    <w:rPr/>
  </w:style>
  <w:style w:customStyle="1" w:styleId="DefinitionTerm" w:type="paragraph">
    <w:name w:val="Definition Term"/>
    <w:basedOn w:val="Normal"/>
    <w:next w:val="Definition"/>
    <w:qFormat/>
    <w:pPr>
      <w:keepNext w:val="true"/>
      <w:keepLines/>
      <w:spacing w:after="0" w:before="0"/>
    </w:pPr>
    <w:rPr>
      <w:b/>
    </w:rPr>
  </w:style>
  <w:style w:customStyle="1" w:styleId="Definition" w:type="paragraph">
    <w:name w:val="Definition"/>
    <w:basedOn w:val="Normal"/>
    <w:qFormat/>
    <w:pPr/>
    <w:rPr/>
  </w:style>
  <w:style w:customStyle="1" w:styleId="TableCaption" w:type="paragraph">
    <w:name w:val="Table Caption"/>
    <w:basedOn w:val="Caption"/>
    <w:qFormat/>
    <w:pPr>
      <w:keepNext w:val="true"/>
    </w:pPr>
    <w:rPr/>
  </w:style>
  <w:style w:customStyle="1" w:styleId="ImageCaption" w:type="paragraph">
    <w:name w:val="Image Caption"/>
    <w:basedOn w:val="Caption"/>
    <w:qFormat/>
    <w:pPr>
      <w:spacing w:line="480" w:lineRule="auto"/>
    </w:pPr>
    <w:rPr/>
  </w:style>
  <w:style w:customStyle="1" w:styleId="Figure" w:type="paragraph">
    <w:name w:val="Figure"/>
    <w:basedOn w:val="Normal"/>
    <w:qFormat/>
    <w:pPr/>
    <w:rPr/>
  </w:style>
  <w:style w:customStyle="1" w:styleId="CaptionedFigure" w:type="paragraph">
    <w:name w:val="Captioned Figure"/>
    <w:basedOn w:val="Figure"/>
    <w:qFormat/>
    <w:pPr>
      <w:keepNext w:val="true"/>
    </w:pPr>
    <w:rPr/>
  </w:style>
  <w:style w:styleId="IndexHeading" w:type="paragraph">
    <w:name w:val="Index Heading"/>
    <w:basedOn w:val="Heading"/>
    <w:pPr/>
    <w:rPr/>
  </w:style>
  <w:style w:styleId="ContentsHeading" w:type="paragraph">
    <w:name w:val="TOC Heading"/>
    <w:basedOn w:val="Heading1"/>
    <w:next w:val="TextBody"/>
    <w:uiPriority w:val="39"/>
    <w:unhideWhenUsed/>
    <w:qFormat/>
    <w:pPr>
      <w:spacing w:after="80" w:before="240" w:line="259" w:lineRule="auto"/>
      <w:outlineLvl w:val="9"/>
    </w:pPr>
    <w:rPr>
      <w:rFonts w:ascii="Aptos Display" w:asciiTheme="majorHAnsi" w:cs="" w:cstheme="majorBidi" w:eastAsia="" w:eastAsiaTheme="majorEastAsia" w:hAnsi="Aptos Display" w:hAnsiTheme="majorHAnsi"/>
      <w:b w:val="false"/>
      <w:bCs w:val="false"/>
      <w:color w:themeColor="accent1" w:themeShade="bf" w:val="365F91"/>
    </w:rPr>
  </w:style>
  <w:style w:styleId="HeaderandFooter" w:type="paragraph">
    <w:name w:val="Header and Footer"/>
    <w:basedOn w:val="Normal"/>
    <w:qFormat/>
    <w:pPr>
      <w:suppressLineNumbers/>
      <w:tabs>
        <w:tab w:pos="720" w:val="clear"/>
        <w:tab w:leader="none" w:pos="4680" w:val="center"/>
        <w:tab w:leader="none" w:pos="9360" w:val="right"/>
      </w:tabs>
    </w:pPr>
    <w:rPr/>
  </w:style>
  <w:style w:styleId="Footer" w:type="paragraph">
    <w:name w:val="Footer"/>
    <w:basedOn w:val="HeaderandFooter"/>
    <w:pPr>
      <w:suppressLineNumbers/>
    </w:pPr>
    <w:rPr/>
  </w:style>
  <w:style w:styleId="Header" w:type="paragraph">
    <w:name w:val="Header"/>
    <w:basedOn w:val="HeaderandFooter"/>
    <w:pPr>
      <w:suppressLineNumbers/>
    </w:pPr>
    <w:rPr/>
  </w:style>
  <w:style w:default="1" w:styleId="Table" w:type="table">
    <w:name w:val="Table"/>
    <w:basedOn w:val="TableNormal"/>
    <w:semiHidden/>
    <w:unhideWhenUsed/>
    <w:qFormat/>
    <w:tblPr>
      <w:tblCellMar>
        <w:top w:type="dxa" w:w="0"/>
        <w:left w:type="dxa" w:w="108"/>
        <w:bottom w:type="dxa" w:w="0"/>
        <w:right w:type="dxa" w:w="108"/>
      </w:tblCellMar>
    </w:tblPr>
    <w:tblStylePr w:type="firstRow">
      <w:tblPr/>
      <w:tcPr>
        <w:tcBorders>
          <w:bottom w:val="single"/>
        </w:tcBorders>
        <w:vAlign w:val="bottom"/>
      </w:tcPr>
    </w:tblStyle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43" Target="media/rId43.png" /><Relationship Type="http://schemas.openxmlformats.org/officeDocument/2006/relationships/image" Id="rId52" Target="media/rId52.png" /><Relationship Type="http://schemas.openxmlformats.org/officeDocument/2006/relationships/image" Id="rId62" Target="media/rId62.png" /><Relationship Type="http://schemas.openxmlformats.org/officeDocument/2006/relationships/image" Id="rId47" Target="media/rId47.png" /><Relationship Type="http://schemas.openxmlformats.org/officeDocument/2006/relationships/image" Id="rId57" Target="media/rId57.png" /><Relationship Type="http://schemas.openxmlformats.org/officeDocument/2006/relationships/image" Id="rId67" Target="media/rId67.png" /><Relationship Type="http://schemas.openxmlformats.org/officeDocument/2006/relationships/image" Id="rId38" Target="media/rId38.png" /><Relationship Type="http://schemas.openxmlformats.org/officeDocument/2006/relationships/hyperlink" Id="rId99" Target="https://doi.org/10.1002/14651858.CD002271.pub3" TargetMode="External" /><Relationship Type="http://schemas.openxmlformats.org/officeDocument/2006/relationships/hyperlink" Id="rId151" Target="https://doi.org/10.1002/hbm.10062" TargetMode="External" /><Relationship Type="http://schemas.openxmlformats.org/officeDocument/2006/relationships/hyperlink" Id="rId175" Target="https://doi.org/10.1002/mrm.1910240219" TargetMode="External" /><Relationship Type="http://schemas.openxmlformats.org/officeDocument/2006/relationships/hyperlink" Id="rId127" Target="https://doi.org/10.1002/mrm.20784" TargetMode="External" /><Relationship Type="http://schemas.openxmlformats.org/officeDocument/2006/relationships/hyperlink" Id="rId177" Target="https://doi.org/10.1002/mrm.21283" TargetMode="External" /><Relationship Type="http://schemas.openxmlformats.org/officeDocument/2006/relationships/hyperlink" Id="rId115" Target="https://doi.org/10.1002/mrm.21627" TargetMode="External" /><Relationship Type="http://schemas.openxmlformats.org/officeDocument/2006/relationships/hyperlink" Id="rId117" Target="https://doi.org/10.1002/mrm.21994" TargetMode="External" /><Relationship Type="http://schemas.openxmlformats.org/officeDocument/2006/relationships/hyperlink" Id="rId129" Target="https://doi.org/10.1002/mrm.22970" TargetMode="External" /><Relationship Type="http://schemas.openxmlformats.org/officeDocument/2006/relationships/hyperlink" Id="rId173" Target="https://doi.org/10.1002/mrm.24918" TargetMode="External" /><Relationship Type="http://schemas.openxmlformats.org/officeDocument/2006/relationships/hyperlink" Id="rId181" Target="https://doi.org/10.1002/mrm.25197" TargetMode="External" /><Relationship Type="http://schemas.openxmlformats.org/officeDocument/2006/relationships/hyperlink" Id="rId179" Target="https://doi.org/10.1002/mrm.26978" TargetMode="External" /><Relationship Type="http://schemas.openxmlformats.org/officeDocument/2006/relationships/hyperlink" Id="rId193" Target="https://doi.org/10.1002/mrm.27135" TargetMode="External" /><Relationship Type="http://schemas.openxmlformats.org/officeDocument/2006/relationships/hyperlink" Id="rId164" Target="https://doi.org/10.1002/mrm.27975" TargetMode="External" /><Relationship Type="http://schemas.openxmlformats.org/officeDocument/2006/relationships/hyperlink" Id="rId157" Target="https://doi.org/10.1002/mrm.30006" TargetMode="External" /><Relationship Type="http://schemas.openxmlformats.org/officeDocument/2006/relationships/hyperlink" Id="rId119" Target="https://doi.org/10.1002/nbm.3067" TargetMode="External" /><Relationship Type="http://schemas.openxmlformats.org/officeDocument/2006/relationships/hyperlink" Id="rId103" Target="https://doi.org/10.1002/ppul.22883" TargetMode="External" /><Relationship Type="http://schemas.openxmlformats.org/officeDocument/2006/relationships/hyperlink" Id="rId111" Target="https://doi.org/10.1002/ppul.25011" TargetMode="External" /><Relationship Type="http://schemas.openxmlformats.org/officeDocument/2006/relationships/hyperlink" Id="rId135" Target="https://doi.org/10.1007/0-387-26206-7_35" TargetMode="External" /><Relationship Type="http://schemas.openxmlformats.org/officeDocument/2006/relationships/hyperlink" Id="rId171" Target="https://doi.org/10.1007/s40134-017-0204-1" TargetMode="External" /><Relationship Type="http://schemas.openxmlformats.org/officeDocument/2006/relationships/hyperlink" Id="rId109" Target="https://doi.org/10.1016/j.earlhumdev.2005.10.002" TargetMode="External" /><Relationship Type="http://schemas.openxmlformats.org/officeDocument/2006/relationships/hyperlink" Id="rId145" Target="https://doi.org/10.1016/j.jneumeth.2016.03.001" TargetMode="External" /><Relationship Type="http://schemas.openxmlformats.org/officeDocument/2006/relationships/hyperlink" Id="rId95" Target="https://doi.org/10.1016/j.jpeds.2020.05.039" TargetMode="External" /><Relationship Type="http://schemas.openxmlformats.org/officeDocument/2006/relationships/hyperlink" Id="rId141" Target="https://doi.org/10.1016/j.neuroimage.2008.10.055" TargetMode="External" /><Relationship Type="http://schemas.openxmlformats.org/officeDocument/2006/relationships/hyperlink" Id="rId133" Target="https://doi.org/10.1016/j.neuroimage.2014.03.060" TargetMode="External" /><Relationship Type="http://schemas.openxmlformats.org/officeDocument/2006/relationships/hyperlink" Id="rId155" Target="https://doi.org/10.1016/j.neuroimage.2017.11.018" TargetMode="External" /><Relationship Type="http://schemas.openxmlformats.org/officeDocument/2006/relationships/hyperlink" Id="rId149" Target="https://doi.org/10.1016/j.neuroimage.2018.01.054" TargetMode="External" /><Relationship Type="http://schemas.openxmlformats.org/officeDocument/2006/relationships/hyperlink" Id="rId191" Target="https://doi.org/10.1016/j.neuroimage.2018.03.020" TargetMode="External" /><Relationship Type="http://schemas.openxmlformats.org/officeDocument/2006/relationships/hyperlink" Id="rId169" Target="https://doi.org/10.1016/j.neuroimage.2019.05.014" TargetMode="External" /><Relationship Type="http://schemas.openxmlformats.org/officeDocument/2006/relationships/hyperlink" Id="rId162" Target="https://doi.org/10.1016/j.neuroimage.2020.117701" TargetMode="External" /><Relationship Type="http://schemas.openxmlformats.org/officeDocument/2006/relationships/hyperlink" Id="rId201" Target="https://doi.org/10.1016/j.neuroimage.2021.118371" TargetMode="External" /><Relationship Type="http://schemas.openxmlformats.org/officeDocument/2006/relationships/hyperlink" Id="rId160" Target="https://doi.org/10.1016/j.neuroimage.2022.118931" TargetMode="External" /><Relationship Type="http://schemas.openxmlformats.org/officeDocument/2006/relationships/hyperlink" Id="rId183" Target="https://doi.org/10.1016/j.nicl.2014.03.006" TargetMode="External" /><Relationship Type="http://schemas.openxmlformats.org/officeDocument/2006/relationships/hyperlink" Id="rId91" Target="https://doi.org/10.1016/j.siny.2016.02.001" TargetMode="External" /><Relationship Type="http://schemas.openxmlformats.org/officeDocument/2006/relationships/hyperlink" Id="rId123" Target="https://doi.org/10.1038/jcbfm.2011.34" TargetMode="External" /><Relationship Type="http://schemas.openxmlformats.org/officeDocument/2006/relationships/hyperlink" Id="rId125" Target="https://doi.org/10.1038/jcbfm.2013.214" TargetMode="External" /><Relationship Type="http://schemas.openxmlformats.org/officeDocument/2006/relationships/hyperlink" Id="rId207" Target="https://doi.org/10.1038/s41390-021-01460-3" TargetMode="External" /><Relationship Type="http://schemas.openxmlformats.org/officeDocument/2006/relationships/hyperlink" Id="rId101" Target="https://doi.org/10.1038/s41390-021-01639-8" TargetMode="External" /><Relationship Type="http://schemas.openxmlformats.org/officeDocument/2006/relationships/hyperlink" Id="rId203" Target="https://doi.org/10.1038/s41390-025-03966-6" TargetMode="External" /><Relationship Type="http://schemas.openxmlformats.org/officeDocument/2006/relationships/hyperlink" Id="rId147" Target="https://doi.org/10.1038/sdata.2016.44" TargetMode="External" /><Relationship Type="http://schemas.openxmlformats.org/officeDocument/2006/relationships/hyperlink" Id="rId195" Target="https://doi.org/10.1073/pnas.83.4.1140" TargetMode="External" /><Relationship Type="http://schemas.openxmlformats.org/officeDocument/2006/relationships/hyperlink" Id="rId185" Target="https://doi.org/10.1097/00004647-199907000-00012" TargetMode="External" /><Relationship Type="http://schemas.openxmlformats.org/officeDocument/2006/relationships/hyperlink" Id="rId153" Target="https://doi.org/10.1109/TMI.2014.2322280" TargetMode="External" /><Relationship Type="http://schemas.openxmlformats.org/officeDocument/2006/relationships/hyperlink" Id="rId83" Target="https://doi.org/10.1111/j.1651-2227.2009.01219.x" TargetMode="External" /><Relationship Type="http://schemas.openxmlformats.org/officeDocument/2006/relationships/hyperlink" Id="rId197" Target="https://doi.org/10.1152/japplphysiol.00939.2020" TargetMode="External" /><Relationship Type="http://schemas.openxmlformats.org/officeDocument/2006/relationships/hyperlink" Id="rId205" Target="https://doi.org/10.1177/0271678X15606713" TargetMode="External" /><Relationship Type="http://schemas.openxmlformats.org/officeDocument/2006/relationships/hyperlink" Id="rId93" Target="https://doi.org/10.1186/s13052-020-00852-1" TargetMode="External" /><Relationship Type="http://schemas.openxmlformats.org/officeDocument/2006/relationships/hyperlink" Id="rId137" Target="https://doi.org/10.1203/00006450-199301000-00011" TargetMode="External" /><Relationship Type="http://schemas.openxmlformats.org/officeDocument/2006/relationships/hyperlink" Id="rId139" Target="https://doi.org/10.1203/00006450-199809000-00004" TargetMode="External" /><Relationship Type="http://schemas.openxmlformats.org/officeDocument/2006/relationships/hyperlink" Id="rId187" Target="https://doi.org/10.1364/BOE.6.003941" TargetMode="External" /><Relationship Type="http://schemas.openxmlformats.org/officeDocument/2006/relationships/hyperlink" Id="rId89" Target="https://doi.org/10.1891/0730-0832.37.3.169" TargetMode="External" /><Relationship Type="http://schemas.openxmlformats.org/officeDocument/2006/relationships/hyperlink" Id="rId85" Target="https://doi.org/10.21037/tp.2019.09.10" TargetMode="External" /><Relationship Type="http://schemas.openxmlformats.org/officeDocument/2006/relationships/hyperlink" Id="rId87" Target="https://doi.org/10.3389/fped.2022.925951" TargetMode="External" /><Relationship Type="http://schemas.openxmlformats.org/officeDocument/2006/relationships/hyperlink" Id="rId121" Target="https://doi.org/10.3389/fphys.2018.00233" TargetMode="External" /><Relationship Type="http://schemas.openxmlformats.org/officeDocument/2006/relationships/hyperlink" Id="rId113" Target="https://doi.org/10.3389/fphys.2021.805620" TargetMode="External" /><Relationship Type="http://schemas.openxmlformats.org/officeDocument/2006/relationships/hyperlink" Id="rId105" Target="https://doi.org/10.3390/children8020132" TargetMode="External" /><Relationship Type="http://schemas.openxmlformats.org/officeDocument/2006/relationships/hyperlink" Id="rId97" Target="https://doi.org/10.3390/jcm11030557" TargetMode="External" /><Relationship Type="http://schemas.openxmlformats.org/officeDocument/2006/relationships/hyperlink" Id="rId107" Target="https://doi.org/10.4187/respcare.01429" TargetMode="External" /><Relationship Type="http://schemas.openxmlformats.org/officeDocument/2006/relationships/hyperlink" Id="rId143" Target="https://doi.org/10.5281/ZENODO.8436509" TargetMode="External" /><Relationship Type="http://schemas.openxmlformats.org/officeDocument/2006/relationships/hyperlink" Id="rId29" Target="https://github.com/SinaStraub/GRE_vessel_seg" TargetMode="External" /><Relationship Type="http://schemas.openxmlformats.org/officeDocument/2006/relationships/hyperlink" Id="rId28" Target="https://github.com/kamesy/QSM.m" TargetMode="External" /><Relationship Type="http://schemas.openxmlformats.org/officeDocument/2006/relationships/hyperlink" Id="rId30" Target="https://github.com/wtsyeda/QSMART" TargetMode="External" /><Relationship Type="http://schemas.openxmlformats.org/officeDocument/2006/relationships/hyperlink" Id="rId81" Target="https://weberlab.github.io/CMRO2_Manuscript/" TargetMode="External" /><Relationship Type="http://schemas.openxmlformats.org/officeDocument/2006/relationships/hyperlink" Id="rId131" Target="https://www.ncbi.nlm.nih.gov/pubmed/8516092" TargetMode="External" /><Relationship Type="http://schemas.openxmlformats.org/officeDocument/2006/relationships/hyperlink" Id="rId199" Target="https://www.ncbi.nlm.nih.gov/pubmed/8965174" TargetMode="External" /><Relationship Type="http://schemas.openxmlformats.org/officeDocument/2006/relationships/hyperlink" Id="rId20" Target="mailto:aweber@bcchr.ca" TargetMode="External" /></Relationships>
</file>

<file path=word/_rels/footnotes.xml.rels><?xml version="1.0" encoding="UTF-8"?><Relationships xmlns="http://schemas.openxmlformats.org/package/2006/relationships"><Relationship Type="http://schemas.openxmlformats.org/officeDocument/2006/relationships/hyperlink" Id="rId99" Target="https://doi.org/10.1002/14651858.CD002271.pub3" TargetMode="External" /><Relationship Type="http://schemas.openxmlformats.org/officeDocument/2006/relationships/hyperlink" Id="rId151" Target="https://doi.org/10.1002/hbm.10062" TargetMode="External" /><Relationship Type="http://schemas.openxmlformats.org/officeDocument/2006/relationships/hyperlink" Id="rId175" Target="https://doi.org/10.1002/mrm.1910240219" TargetMode="External" /><Relationship Type="http://schemas.openxmlformats.org/officeDocument/2006/relationships/hyperlink" Id="rId127" Target="https://doi.org/10.1002/mrm.20784" TargetMode="External" /><Relationship Type="http://schemas.openxmlformats.org/officeDocument/2006/relationships/hyperlink" Id="rId177" Target="https://doi.org/10.1002/mrm.21283" TargetMode="External" /><Relationship Type="http://schemas.openxmlformats.org/officeDocument/2006/relationships/hyperlink" Id="rId115" Target="https://doi.org/10.1002/mrm.21627" TargetMode="External" /><Relationship Type="http://schemas.openxmlformats.org/officeDocument/2006/relationships/hyperlink" Id="rId117" Target="https://doi.org/10.1002/mrm.21994" TargetMode="External" /><Relationship Type="http://schemas.openxmlformats.org/officeDocument/2006/relationships/hyperlink" Id="rId129" Target="https://doi.org/10.1002/mrm.22970" TargetMode="External" /><Relationship Type="http://schemas.openxmlformats.org/officeDocument/2006/relationships/hyperlink" Id="rId173" Target="https://doi.org/10.1002/mrm.24918" TargetMode="External" /><Relationship Type="http://schemas.openxmlformats.org/officeDocument/2006/relationships/hyperlink" Id="rId181" Target="https://doi.org/10.1002/mrm.25197" TargetMode="External" /><Relationship Type="http://schemas.openxmlformats.org/officeDocument/2006/relationships/hyperlink" Id="rId179" Target="https://doi.org/10.1002/mrm.26978" TargetMode="External" /><Relationship Type="http://schemas.openxmlformats.org/officeDocument/2006/relationships/hyperlink" Id="rId193" Target="https://doi.org/10.1002/mrm.27135" TargetMode="External" /><Relationship Type="http://schemas.openxmlformats.org/officeDocument/2006/relationships/hyperlink" Id="rId164" Target="https://doi.org/10.1002/mrm.27975" TargetMode="External" /><Relationship Type="http://schemas.openxmlformats.org/officeDocument/2006/relationships/hyperlink" Id="rId157" Target="https://doi.org/10.1002/mrm.30006" TargetMode="External" /><Relationship Type="http://schemas.openxmlformats.org/officeDocument/2006/relationships/hyperlink" Id="rId119" Target="https://doi.org/10.1002/nbm.3067" TargetMode="External" /><Relationship Type="http://schemas.openxmlformats.org/officeDocument/2006/relationships/hyperlink" Id="rId103" Target="https://doi.org/10.1002/ppul.22883" TargetMode="External" /><Relationship Type="http://schemas.openxmlformats.org/officeDocument/2006/relationships/hyperlink" Id="rId111" Target="https://doi.org/10.1002/ppul.25011" TargetMode="External" /><Relationship Type="http://schemas.openxmlformats.org/officeDocument/2006/relationships/hyperlink" Id="rId135" Target="https://doi.org/10.1007/0-387-26206-7_35" TargetMode="External" /><Relationship Type="http://schemas.openxmlformats.org/officeDocument/2006/relationships/hyperlink" Id="rId171" Target="https://doi.org/10.1007/s40134-017-0204-1" TargetMode="External" /><Relationship Type="http://schemas.openxmlformats.org/officeDocument/2006/relationships/hyperlink" Id="rId109" Target="https://doi.org/10.1016/j.earlhumdev.2005.10.002" TargetMode="External" /><Relationship Type="http://schemas.openxmlformats.org/officeDocument/2006/relationships/hyperlink" Id="rId145" Target="https://doi.org/10.1016/j.jneumeth.2016.03.001" TargetMode="External" /><Relationship Type="http://schemas.openxmlformats.org/officeDocument/2006/relationships/hyperlink" Id="rId95" Target="https://doi.org/10.1016/j.jpeds.2020.05.039" TargetMode="External" /><Relationship Type="http://schemas.openxmlformats.org/officeDocument/2006/relationships/hyperlink" Id="rId141" Target="https://doi.org/10.1016/j.neuroimage.2008.10.055" TargetMode="External" /><Relationship Type="http://schemas.openxmlformats.org/officeDocument/2006/relationships/hyperlink" Id="rId133" Target="https://doi.org/10.1016/j.neuroimage.2014.03.060" TargetMode="External" /><Relationship Type="http://schemas.openxmlformats.org/officeDocument/2006/relationships/hyperlink" Id="rId155" Target="https://doi.org/10.1016/j.neuroimage.2017.11.018" TargetMode="External" /><Relationship Type="http://schemas.openxmlformats.org/officeDocument/2006/relationships/hyperlink" Id="rId149" Target="https://doi.org/10.1016/j.neuroimage.2018.01.054" TargetMode="External" /><Relationship Type="http://schemas.openxmlformats.org/officeDocument/2006/relationships/hyperlink" Id="rId191" Target="https://doi.org/10.1016/j.neuroimage.2018.03.020" TargetMode="External" /><Relationship Type="http://schemas.openxmlformats.org/officeDocument/2006/relationships/hyperlink" Id="rId169" Target="https://doi.org/10.1016/j.neuroimage.2019.05.014" TargetMode="External" /><Relationship Type="http://schemas.openxmlformats.org/officeDocument/2006/relationships/hyperlink" Id="rId162" Target="https://doi.org/10.1016/j.neuroimage.2020.117701" TargetMode="External" /><Relationship Type="http://schemas.openxmlformats.org/officeDocument/2006/relationships/hyperlink" Id="rId201" Target="https://doi.org/10.1016/j.neuroimage.2021.118371" TargetMode="External" /><Relationship Type="http://schemas.openxmlformats.org/officeDocument/2006/relationships/hyperlink" Id="rId160" Target="https://doi.org/10.1016/j.neuroimage.2022.118931" TargetMode="External" /><Relationship Type="http://schemas.openxmlformats.org/officeDocument/2006/relationships/hyperlink" Id="rId183" Target="https://doi.org/10.1016/j.nicl.2014.03.006" TargetMode="External" /><Relationship Type="http://schemas.openxmlformats.org/officeDocument/2006/relationships/hyperlink" Id="rId91" Target="https://doi.org/10.1016/j.siny.2016.02.001" TargetMode="External" /><Relationship Type="http://schemas.openxmlformats.org/officeDocument/2006/relationships/hyperlink" Id="rId123" Target="https://doi.org/10.1038/jcbfm.2011.34" TargetMode="External" /><Relationship Type="http://schemas.openxmlformats.org/officeDocument/2006/relationships/hyperlink" Id="rId125" Target="https://doi.org/10.1038/jcbfm.2013.214" TargetMode="External" /><Relationship Type="http://schemas.openxmlformats.org/officeDocument/2006/relationships/hyperlink" Id="rId207" Target="https://doi.org/10.1038/s41390-021-01460-3" TargetMode="External" /><Relationship Type="http://schemas.openxmlformats.org/officeDocument/2006/relationships/hyperlink" Id="rId101" Target="https://doi.org/10.1038/s41390-021-01639-8" TargetMode="External" /><Relationship Type="http://schemas.openxmlformats.org/officeDocument/2006/relationships/hyperlink" Id="rId203" Target="https://doi.org/10.1038/s41390-025-03966-6" TargetMode="External" /><Relationship Type="http://schemas.openxmlformats.org/officeDocument/2006/relationships/hyperlink" Id="rId147" Target="https://doi.org/10.1038/sdata.2016.44" TargetMode="External" /><Relationship Type="http://schemas.openxmlformats.org/officeDocument/2006/relationships/hyperlink" Id="rId195" Target="https://doi.org/10.1073/pnas.83.4.1140" TargetMode="External" /><Relationship Type="http://schemas.openxmlformats.org/officeDocument/2006/relationships/hyperlink" Id="rId185" Target="https://doi.org/10.1097/00004647-199907000-00012" TargetMode="External" /><Relationship Type="http://schemas.openxmlformats.org/officeDocument/2006/relationships/hyperlink" Id="rId153" Target="https://doi.org/10.1109/TMI.2014.2322280" TargetMode="External" /><Relationship Type="http://schemas.openxmlformats.org/officeDocument/2006/relationships/hyperlink" Id="rId83" Target="https://doi.org/10.1111/j.1651-2227.2009.01219.x" TargetMode="External" /><Relationship Type="http://schemas.openxmlformats.org/officeDocument/2006/relationships/hyperlink" Id="rId197" Target="https://doi.org/10.1152/japplphysiol.00939.2020" TargetMode="External" /><Relationship Type="http://schemas.openxmlformats.org/officeDocument/2006/relationships/hyperlink" Id="rId205" Target="https://doi.org/10.1177/0271678X15606713" TargetMode="External" /><Relationship Type="http://schemas.openxmlformats.org/officeDocument/2006/relationships/hyperlink" Id="rId93" Target="https://doi.org/10.1186/s13052-020-00852-1" TargetMode="External" /><Relationship Type="http://schemas.openxmlformats.org/officeDocument/2006/relationships/hyperlink" Id="rId137" Target="https://doi.org/10.1203/00006450-199301000-00011" TargetMode="External" /><Relationship Type="http://schemas.openxmlformats.org/officeDocument/2006/relationships/hyperlink" Id="rId139" Target="https://doi.org/10.1203/00006450-199809000-00004" TargetMode="External" /><Relationship Type="http://schemas.openxmlformats.org/officeDocument/2006/relationships/hyperlink" Id="rId187" Target="https://doi.org/10.1364/BOE.6.003941" TargetMode="External" /><Relationship Type="http://schemas.openxmlformats.org/officeDocument/2006/relationships/hyperlink" Id="rId89" Target="https://doi.org/10.1891/0730-0832.37.3.169" TargetMode="External" /><Relationship Type="http://schemas.openxmlformats.org/officeDocument/2006/relationships/hyperlink" Id="rId85" Target="https://doi.org/10.21037/tp.2019.09.10" TargetMode="External" /><Relationship Type="http://schemas.openxmlformats.org/officeDocument/2006/relationships/hyperlink" Id="rId87" Target="https://doi.org/10.3389/fped.2022.925951" TargetMode="External" /><Relationship Type="http://schemas.openxmlformats.org/officeDocument/2006/relationships/hyperlink" Id="rId121" Target="https://doi.org/10.3389/fphys.2018.00233" TargetMode="External" /><Relationship Type="http://schemas.openxmlformats.org/officeDocument/2006/relationships/hyperlink" Id="rId113" Target="https://doi.org/10.3389/fphys.2021.805620" TargetMode="External" /><Relationship Type="http://schemas.openxmlformats.org/officeDocument/2006/relationships/hyperlink" Id="rId105" Target="https://doi.org/10.3390/children8020132" TargetMode="External" /><Relationship Type="http://schemas.openxmlformats.org/officeDocument/2006/relationships/hyperlink" Id="rId97" Target="https://doi.org/10.3390/jcm11030557" TargetMode="External" /><Relationship Type="http://schemas.openxmlformats.org/officeDocument/2006/relationships/hyperlink" Id="rId107" Target="https://doi.org/10.4187/respcare.01429" TargetMode="External" /><Relationship Type="http://schemas.openxmlformats.org/officeDocument/2006/relationships/hyperlink" Id="rId143" Target="https://doi.org/10.5281/ZENODO.8436509" TargetMode="External" /><Relationship Type="http://schemas.openxmlformats.org/officeDocument/2006/relationships/hyperlink" Id="rId29" Target="https://github.com/SinaStraub/GRE_vessel_seg" TargetMode="External" /><Relationship Type="http://schemas.openxmlformats.org/officeDocument/2006/relationships/hyperlink" Id="rId28" Target="https://github.com/kamesy/QSM.m" TargetMode="External" /><Relationship Type="http://schemas.openxmlformats.org/officeDocument/2006/relationships/hyperlink" Id="rId30" Target="https://github.com/wtsyeda/QSMART" TargetMode="External" /><Relationship Type="http://schemas.openxmlformats.org/officeDocument/2006/relationships/hyperlink" Id="rId81" Target="https://weberlab.github.io/CMRO2_Manuscript/" TargetMode="External" /><Relationship Type="http://schemas.openxmlformats.org/officeDocument/2006/relationships/hyperlink" Id="rId131" Target="https://www.ncbi.nlm.nih.gov/pubmed/8516092" TargetMode="External" /><Relationship Type="http://schemas.openxmlformats.org/officeDocument/2006/relationships/hyperlink" Id="rId199" Target="https://www.ncbi.nlm.nih.gov/pubmed/8965174" TargetMode="External" /><Relationship Type="http://schemas.openxmlformats.org/officeDocument/2006/relationships/hyperlink" Id="rId20" Target="mailto:aweber@bcchr.ca"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120</TotalTime>
  <Application>LibreOffice/7.3.7.2$Linux_X86_64 LibreOffice_project/30$Build-2</Application>
  <AppVersion>15.0000</AppVersion>
  <Pages>1</Pages>
  <Words>53</Words>
  <Characters>281</Characters>
  <CharactersWithSpaces>370</CharactersWithSpaces>
  <Paragraphs>28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Assessing Semi-Regional Cerebral Oxygen Consumption (CMRO2) in Preterm Neonates: A Quantitative MRI Cohort Study with Exploratory Analysis of Respiratory Support</dc:title>
  <dc:creator>Chen Shuang Zhu1,2, Natalie Chan3, Anil Chacko4, Liisa Holsti5, Ruth E Grunau*2,6, and Alexander Mark Weber*1,2,6,✉</dc:creator>
  <cp:keywords/>
  <dcterms:created xsi:type="dcterms:W3CDTF">2025-05-05T19:08:35Z</dcterms:created>
  <dcterms:modified xsi:type="dcterms:W3CDTF">2025-05-05T19:08:35Z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ibliography">
    <vt:lpwstr>references.bib</vt:lpwstr>
  </property>
  <property fmtid="{D5CDD505-2E9C-101B-9397-08002B2CF9AE}" pid="5" name="by-affiliation">
    <vt:lpwstr/>
  </property>
  <property fmtid="{D5CDD505-2E9C-101B-9397-08002B2CF9AE}" pid="6" name="by-author">
    <vt:lpwstr/>
  </property>
  <property fmtid="{D5CDD505-2E9C-101B-9397-08002B2CF9AE}" pid="7" name="clear-hidden-classes">
    <vt:lpwstr>none</vt:lpwstr>
  </property>
  <property fmtid="{D5CDD505-2E9C-101B-9397-08002B2CF9AE}" pid="8" name="crossref">
    <vt:lpwstr/>
  </property>
  <property fmtid="{D5CDD505-2E9C-101B-9397-08002B2CF9AE}" pid="9" name="csl">
    <vt:lpwstr>./american-medical-association.csl</vt:lpwstr>
  </property>
  <property fmtid="{D5CDD505-2E9C-101B-9397-08002B2CF9AE}" pid="10" name="google-scholar">
    <vt:lpwstr>True</vt:lpwstr>
  </property>
  <property fmtid="{D5CDD505-2E9C-101B-9397-08002B2CF9AE}" pid="11" name="header-includes">
    <vt:lpwstr/>
  </property>
  <property fmtid="{D5CDD505-2E9C-101B-9397-08002B2CF9AE}" pid="12" name="include-after">
    <vt:lpwstr/>
  </property>
  <property fmtid="{D5CDD505-2E9C-101B-9397-08002B2CF9AE}" pid="13" name="include-before">
    <vt:lpwstr/>
  </property>
  <property fmtid="{D5CDD505-2E9C-101B-9397-08002B2CF9AE}" pid="14" name="labels">
    <vt:lpwstr/>
  </property>
  <property fmtid="{D5CDD505-2E9C-101B-9397-08002B2CF9AE}" pid="15" name="lightbox">
    <vt:lpwstr>auto</vt:lpwstr>
  </property>
  <property fmtid="{D5CDD505-2E9C-101B-9397-08002B2CF9AE}" pid="16" name="manuscript">
    <vt:lpwstr/>
  </property>
  <property fmtid="{D5CDD505-2E9C-101B-9397-08002B2CF9AE}" pid="17" name="notebook-preview-options">
    <vt:lpwstr/>
  </property>
  <property fmtid="{D5CDD505-2E9C-101B-9397-08002B2CF9AE}" pid="18" name="quarto-internal">
    <vt:lpwstr/>
  </property>
  <property fmtid="{D5CDD505-2E9C-101B-9397-08002B2CF9AE}" pid="19" name="remove-hidden">
    <vt:lpwstr>all</vt:lpwstr>
  </property>
  <property fmtid="{D5CDD505-2E9C-101B-9397-08002B2CF9AE}" pid="20" name="template-partials">
    <vt:lpwstr/>
  </property>
  <property fmtid="{D5CDD505-2E9C-101B-9397-08002B2CF9AE}" pid="21" name="theme">
    <vt:lpwstr>cosmo</vt:lpwstr>
  </property>
  <property fmtid="{D5CDD505-2E9C-101B-9397-08002B2CF9AE}" pid="22" name="title-block-style">
    <vt:lpwstr>manuscript</vt:lpwstr>
  </property>
  <property fmtid="{D5CDD505-2E9C-101B-9397-08002B2CF9AE}" pid="23" name="toc-title">
    <vt:lpwstr>Table of contents</vt:lpwstr>
  </property>
  <property fmtid="{D5CDD505-2E9C-101B-9397-08002B2CF9AE}" pid="24" name="unroll-markdown-cells">
    <vt:lpwstr>True</vt:lpwstr>
  </property>
</Properties>
</file>